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B272B"/>
    <w:p w14:paraId="7C6F941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3594F8B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4CE729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D50CB7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306490F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特克斯县耕地地力保护补贴项目支出</w:t>
      </w:r>
    </w:p>
    <w:p w14:paraId="38BE1C16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绩效评价报告</w:t>
      </w:r>
    </w:p>
    <w:p w14:paraId="14C5F6C3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90F4192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1319016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613BA293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EC94812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DC15C5C">
      <w:pPr>
        <w:pStyle w:val="9"/>
        <w:rPr>
          <w:rFonts w:hint="default" w:ascii="Times New Roman" w:hAnsi="Times New Roman" w:cs="Times New Roman"/>
          <w:sz w:val="32"/>
          <w:szCs w:val="32"/>
        </w:rPr>
      </w:pPr>
    </w:p>
    <w:p w14:paraId="14D9169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F199F34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615DB1F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项目名称：2024年特克斯县耕地地力保护补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贴项目</w:t>
      </w:r>
    </w:p>
    <w:p w14:paraId="15220F08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特克斯县农业农村局</w:t>
      </w:r>
    </w:p>
    <w:p w14:paraId="45DFF977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特克斯县农业农村局</w:t>
      </w:r>
    </w:p>
    <w:p w14:paraId="638BEC12">
      <w:pPr>
        <w:spacing w:line="700" w:lineRule="exact"/>
        <w:ind w:firstLine="1280" w:firstLineChars="4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刘绍刚</w:t>
      </w:r>
    </w:p>
    <w:p w14:paraId="08D701FA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0E9DEEB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2CBDFAD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5D269E47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548BFEA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26567C3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2EDAAE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6464538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主要依据《财政部农业农村部关于全面推开农业“三项补贴”改革工作的通知》（财农〔2016〕26号）和《财政部办公厅 农业农村部办公厅关于进一步做好耕地地力保护补贴工作的通知》（财办农〔2021〕11号）。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现按照《2024年耕地地力保护补贴实施方案》实施。</w:t>
      </w:r>
    </w:p>
    <w:p w14:paraId="6F743BAD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021B0869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央下拨耕地地力保护补贴目的是调动农民种粮积极性，稳定粮食种植面积和产量，维持粮食价格的平稳，防止农村耕田耕地荒芜，提高粮食种植每亩单产量，实现农业种植的常态化、规范化、稳定化，最终实现经济及社会综合协调发展，提高农民生活水平，改善人类居住环境，促进社会生产力发展。</w:t>
      </w:r>
    </w:p>
    <w:p w14:paraId="3FED02A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项目实施情况：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全年实际完成11.84万亩耕地地力保护补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贴，发放资金2689.82万元，受益农户2168户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7B60B66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32625F2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7C19D3C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中央资金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98ED57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6FA6F9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发放全县11.84万亩耕地地力保护补贴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5F18B7B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11CC78F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4530CE51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贯彻新发展理念，主动适应全区农业产业发展新常态，以保障粮食等重要农产品有效供给和促进农民持续增收为重点，完善耕地地力保护补贴政策体系，引导农民自觉提升耕地地力，推动粮食生产能力稳步提升，促进种植业结构合理调整，确保全区农业经济健康发展和民生持续改善，着力构建更高质量、更有效率、更加公平、更可持续的农业产业新发展格局。</w:t>
      </w:r>
    </w:p>
    <w:p w14:paraId="4223B4DC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0CAEB30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全年实际完成11.84万亩耕地地力保护补贴，发放资金2689.82万元，其中：第一批发放1730.26万元，第二批发放959.56万元，受益农户2168户。</w:t>
      </w:r>
    </w:p>
    <w:p w14:paraId="6352A31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4701F0B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263F5E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1.绩效评价完整性</w:t>
      </w:r>
    </w:p>
    <w:p w14:paraId="49A858C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3F52DE8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评价指标体系的构建上，充分考虑了项目的性质、目标以及预期成果，选取了具有代表性和可衡量性的关键指标，涵盖了经济效益等多个维度，力求全方位反映项目的绩效状况。同时，对于每个指标的评价标准和数据来源均进行了明确说明，确保评价结果的客观性和可追溯性。</w:t>
      </w:r>
    </w:p>
    <w:p w14:paraId="59F2C18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3CDEB4F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7D39D8E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6534D1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7CE40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46CBB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通过对项目预算执行情况及各项绩效目标达成程度的系统性分析，全面、客观地评估项目在预定周期内的实施效果，包括经济效益等多维度指标，为项目后续的改进与优化提供科学依据。</w:t>
      </w:r>
    </w:p>
    <w:p w14:paraId="5FD62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1F884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4A53C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469DB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8E82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1B8AC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1BE0A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5D091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6D7B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38D89E3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51D1A64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耕地地力保护补贴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特克斯县农业农村局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以保障粮食等重要农产品有效供给和促进农民持续增收为重点，完善耕地地力保护补贴政策体系，引导农民自觉提升耕地地力，推动粮食生产能力稳步提升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2024年3月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2024年10月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3BB0B2E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75799D5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3C3D2067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6061409F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00F95685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5363652F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经济影响：考察项目对经济等方面的综合影响。</w:t>
      </w:r>
    </w:p>
    <w:p w14:paraId="4DFE76DE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1A170FD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65993BD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0A1AD57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2E481CA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7C4687E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E54757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6402AD0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7B769AAB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D06E61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（1）确定评价指标</w:t>
      </w:r>
    </w:p>
    <w:p w14:paraId="6DF586E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CCE7C3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（2）确定权重</w:t>
      </w:r>
    </w:p>
    <w:p w14:paraId="0F71140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3BF58E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（3）确定指标标准值</w:t>
      </w:r>
    </w:p>
    <w:p w14:paraId="0B6A7BD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17EF7BE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绩效评价总分值100分，根据综合评分结果，90（含）-100分为优、80（含）-90分为良、60（含）-80分为中、60分以下为差。</w:t>
      </w:r>
    </w:p>
    <w:p w14:paraId="4D5253D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具体评价指标体系详情见附件1</w:t>
      </w:r>
    </w:p>
    <w:p w14:paraId="5A933CA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3F7EA0D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38D9EF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65CE510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（一）因素分析法。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原因</w:t>
      </w:r>
      <w:r>
        <w:rPr>
          <w:rFonts w:hint="default" w:ascii="Times New Roman" w:hAnsi="Times New Roman" w:eastAsia="仿宋_GB2312" w:cs="Times New Roman"/>
          <w:b w:val="0"/>
          <w:bCs w:val="0"/>
        </w:rPr>
        <w:t>是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耕地地力保护补贴按照年初设定总目标进行全年工作安排，按照季度实施工作，年底实现目标实现。</w:t>
      </w:r>
      <w:r>
        <w:rPr>
          <w:rFonts w:hint="default" w:ascii="Times New Roman" w:hAnsi="Times New Roman" w:eastAsia="仿宋_GB2312" w:cs="Times New Roman"/>
          <w:b w:val="0"/>
          <w:bCs w:val="0"/>
        </w:rPr>
        <w:t>指综合分析影响绩效目标实现、实施效果的内外部因素的方法。</w:t>
      </w:r>
    </w:p>
    <w:p w14:paraId="58CE01B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5F4F0F2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要采用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了计划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</w:p>
    <w:p w14:paraId="5B2D824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计划标准。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原因是耕地地力保护补贴按照年初设定总目标进行全年工作安排，按照季度实施工作，年底实现目标实现。按照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指以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预先制定的目标、计划、预算、定额等作为评价标准。</w:t>
      </w:r>
    </w:p>
    <w:p w14:paraId="2B096F62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2C24B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6F75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7791A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051B3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78B06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59567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2C077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0B0B7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444F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5BC8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3926F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3F11D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27A49A0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7B7B27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28844A5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本项目的综合评价基于对项目各方面绩效的深入分析与评估。从项目目标的达成情况来看，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耕地地力保护补贴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保障粮食等重要农产品有效供给和促进农民持续增收为重点、完善耕地地力保护补贴政策体系，引导农民自觉提升耕地地力，推动粮食生产能力稳步提升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等方面表现出色，达到了预期的标准与要求。同时，项目也在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调动农民种粮积极性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取得了显著的成效，如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稳定粮食种植面积和产量，维持粮食价格的平稳，防止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农村耕田耕地荒芜，提高粮食种植每亩产量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实现农业种植的常态化、规范化、稳定化，最终实现经济及社会综合协调发展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等。</w:t>
      </w:r>
    </w:p>
    <w:p w14:paraId="32D340C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在项目管理方面，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特克斯县农业农村局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通过有效的规划、组织与协调，项目得以顺利实施，并在预算与时间上保持了良好的控制。</w:t>
      </w:r>
    </w:p>
    <w:p w14:paraId="329033A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从项目效益的角度来看，本项目不仅实现了预期的社会效益、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效益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、经济效益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等方面产生了积极的影响。具体而言，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通过发放耕地地力保护补贴资金，调动农户耕种粮食的积极性，提高了粮食的产量，改善了农户收入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通过发放耕地地力保护补贴资金，一方面可以加强农村基础设施的建设，提高耕地的耕种环境，科学使用肥料，有效的防止水土流失、土地退化入和土地污染，保持表土植被恢复，地表常绿；另一方面能够优化农作物种植结构，提高农田的多样性，优化空间格局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等方面的提升，为项目的利益相关者带来了实实在在的利益。</w:t>
      </w:r>
    </w:p>
    <w:p w14:paraId="46BAFC8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gree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耕地地力保护补贴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4DD97C2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1EBD331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47874DC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8F76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DF79A2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E859C9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41D2CC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44604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39ED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531F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C5D2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05E7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F4C4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5C9B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3120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7BEF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9B28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092C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0FA7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21C05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3B5A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C1EA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DA87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E84D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BDB9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042F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E502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238C122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318516DE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5E50F13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6E7191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165138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5AD5085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74C360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7779638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CAD6F8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2DAC21D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5F149DA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537035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2FF45E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EBC9B3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03B5485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501DD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7983E43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27A3898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35349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2E1D3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5F2D1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1B7A60B6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7417D8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4BFBE4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1.资金管理</w:t>
      </w:r>
    </w:p>
    <w:p w14:paraId="7763A3E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4220C74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万元，财政资金及时足额到位，到位率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%，预算资金按计划进度执行。</w:t>
      </w:r>
    </w:p>
    <w:p w14:paraId="4187701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7525FC2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预算编制较为详细，项目资金支出总体能够按照预算执行，预算资金支出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2689.82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3FDB031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66F80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7D1E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DC5F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187D924F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2152EF4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1EA48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30B75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63797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2D2CF8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4D6C250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656D4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1C7DA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74857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152B2F8D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6954D46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%。具体产出指标完成情况如下：</w:t>
      </w:r>
    </w:p>
    <w:p w14:paraId="5ADB033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66E83ED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耕地地力保护补贴种植春小麦耕地面积，指标值：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11.84万亩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11.84万亩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9A9514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70C4CBC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保障粮食安全率，指标值：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</w:p>
    <w:p w14:paraId="7DFA2029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补贴资金兑付率，指标值：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87C3C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5137092D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耕地地力保护补贴发放时限，指标值：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2024年12月3日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2024年12月3日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</w:p>
    <w:p w14:paraId="06E8653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项目完成及时率，指标值：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</w:p>
    <w:p w14:paraId="481B20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246B1A5F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春小麦补贴标准，指标值：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&lt;=227.20元/亩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227.20元/亩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</w:p>
    <w:p w14:paraId="6FA84849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0D08C2D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成情况如下：</w:t>
      </w:r>
    </w:p>
    <w:p w14:paraId="5AAA590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334C4C3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经济效益指标：</w:t>
      </w:r>
    </w:p>
    <w:p w14:paraId="46BB55A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种粮农民收益，指标值：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明显提高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明显提高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</w:p>
    <w:p w14:paraId="54CC4FF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45791DF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耕地地力保护补贴政策群众满意度，指标值：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&gt;=95%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</w:p>
    <w:p w14:paraId="1901E70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1324DAF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567184F8">
      <w:pPr>
        <w:pStyle w:val="20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2024年耕地地力保护补贴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2689.82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2689.82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2689.82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51B78488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2A16B537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01CC0334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通过发放耕地地力保护补贴资金，一方面可以加强农村基础设施的建设，提高耕地的耕种环境，科学使用肥料，有效的防止水土流失、土地退化入和土地污染，保持表土植被恢复，地表常绿；另一方面能够优化农作物种植结构，提高农田的多样性，优化空间格局。对调动农民种粮积极性，稳定粮食种植面积和产量，维持粮食价格的平稳，防止农村耕田耕地荒芜，提高粮食种植每亩产量，实现农业种植的常态化、规范化、稳定化，最终实现经济及社会综合协调发展，提高农民生活水平，改善人们居住环境，促进社会生产力发展具有极为重要的意义。</w:t>
      </w:r>
    </w:p>
    <w:p w14:paraId="749B25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0937FA4C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2C548EE7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97DA4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B0D66B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3D857D1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5609B95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0A1BD6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07F335D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668B11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52F2497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197169A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2FB59057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488A5B85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492B6EA1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471DBAB0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CA6DF2-188D-443A-86CE-81858E3B78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145C73EF-EEE7-4C5A-86E1-2402DBAAEAD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69BB52E-BCB2-4E81-B061-E8CD5DD0DB4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20B2280-2CCD-4EBB-A7CB-C6B5E712E6DA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5" w:fontKey="{593FF09F-E8B1-4CB1-BC8A-7A3CD52F651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CB841792-EE7C-4315-973F-D6C38B563D49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CAB0B1C1-B3D6-4DEF-A809-F11FAC47DB1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E416AE74-8C99-41CD-90D0-5FCE8764237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752436F5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CB33CFC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2E7F730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76442198207B4297B14A9BD66B7966B1_13</vt:lpwstr>
  </property>
  <property fmtid="{D5CDD505-2E9C-101B-9397-08002B2CF9AE}" pid="4" name="KSOTemplateDocerSaveRecord">
    <vt:lpwstr>eyJoZGlkIjoiMTk4ZjMzZTkxMDUzOWUwYzQ4OTViM2UwODBmYmY3N2QifQ==</vt:lpwstr>
  </property>
</Properties>
</file>

<file path=customXml/itemProps1.xml><?xml version="1.0" encoding="utf-8"?>
<ds:datastoreItem xmlns:ds="http://schemas.openxmlformats.org/officeDocument/2006/customXml" ds:itemID="{40564efa-58f0-44d3-809e-8b83d8ab6d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12745</Words>
  <Characters>13288</Characters>
  <Lines>58</Lines>
  <Paragraphs>16</Paragraphs>
  <TotalTime>6</TotalTime>
  <ScaleCrop>false</ScaleCrop>
  <LinksUpToDate>false</LinksUpToDate>
  <CharactersWithSpaces>13311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76442198207B4297B14A9BD66B7966B1_13</vt:lpwstr>
  </property>
  <property fmtid="{D5CDD505-2E9C-101B-9397-08002B2CF9AE}" pid="4" name="KSOTemplateDocerSaveRecord">
    <vt:lpwstr>eyJoZGlkIjoiNTM1NjJiMTUwNmFhZWNlZmQwNDVjMDAxNDMwM2IwMDkiLCJ1c2VySWQiOiIzNzI2MDMzNTYifQ==</vt:lpwstr>
  </property>
</Properties>
</file>