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特克斯县医疗保障局2024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61792D3">
      <w:r>
        <w:br w:type="page"/>
      </w:r>
    </w:p>
    <w:p w14:paraId="6B3031DF">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54916B5B">
      <w:pPr>
        <w:spacing w:line="640" w:lineRule="exact"/>
        <w:ind w:firstLine="640"/>
        <w:jc w:val="both"/>
        <w:outlineLvl w:val="2"/>
      </w:pPr>
      <w:r>
        <w:rPr>
          <w:rFonts w:ascii="黑体" w:hAnsi="黑体" w:eastAsia="黑体"/>
          <w:sz w:val="32"/>
        </w:rPr>
        <w:t>一、主要职能</w:t>
      </w:r>
    </w:p>
    <w:p w14:paraId="1A891595">
      <w:pPr>
        <w:spacing w:line="580" w:lineRule="exact"/>
        <w:ind w:firstLine="640"/>
        <w:jc w:val="both"/>
      </w:pPr>
      <w:r>
        <w:rPr>
          <w:rFonts w:ascii="仿宋_GB2312" w:hAnsi="仿宋_GB2312" w:eastAsia="仿宋_GB2312"/>
          <w:sz w:val="32"/>
        </w:rPr>
        <w:t>（一）贯彻实施国家、自治区、自治州医疗保险、生育保险、医疗救助等医疗保障制度、执行落实自治区、自治州医疗保障制度的法规规章、政策、规划和标准；执行落实自治区、自治州人身意外伤害保险、大额医疗补助、公务员医疗补助、企事业</w:t>
      </w:r>
      <w:r>
        <w:rPr>
          <w:rFonts w:hint="eastAsia" w:ascii="仿宋_GB2312" w:hAnsi="仿宋_GB2312" w:eastAsia="仿宋_GB2312"/>
          <w:sz w:val="32"/>
          <w:lang w:eastAsia="zh-CN"/>
        </w:rPr>
        <w:t>单位</w:t>
      </w:r>
      <w:r>
        <w:rPr>
          <w:rFonts w:ascii="仿宋_GB2312" w:hAnsi="仿宋_GB2312" w:eastAsia="仿宋_GB2312"/>
          <w:sz w:val="32"/>
        </w:rPr>
        <w:t>补充医疗保险、离休人员和优抚对象医疗保障等政策、管理办法；贯彻实施州本级医疗保险、生育保险等政策、措施。</w:t>
      </w:r>
    </w:p>
    <w:p w14:paraId="0C87BA91">
      <w:pPr>
        <w:spacing w:line="580" w:lineRule="exact"/>
        <w:ind w:firstLine="640"/>
        <w:jc w:val="both"/>
      </w:pPr>
      <w:r>
        <w:rPr>
          <w:rFonts w:ascii="仿宋_GB2312" w:hAnsi="仿宋_GB2312" w:eastAsia="仿宋_GB2312"/>
          <w:sz w:val="32"/>
        </w:rPr>
        <w:t>（二）贯彻落实自治区、自治州医疗保障基金监督管理办法、建立健全医疗保障基金安全防控机制、承担推进医疗保障基金支付方式改革工作、编制特克斯县医疗保障基金预决算草案。</w:t>
      </w:r>
    </w:p>
    <w:p w14:paraId="7AC7D95B">
      <w:pPr>
        <w:spacing w:line="580" w:lineRule="exact"/>
        <w:ind w:firstLine="640"/>
        <w:jc w:val="both"/>
      </w:pPr>
      <w:r>
        <w:rPr>
          <w:rFonts w:ascii="仿宋_GB2312" w:hAnsi="仿宋_GB2312" w:eastAsia="仿宋_GB2312"/>
          <w:sz w:val="32"/>
        </w:rPr>
        <w:t>（三)执行落实自治区、自治州医疗保障筹资和待遇政策、配合做好动态调整和</w:t>
      </w:r>
      <w:r>
        <w:rPr>
          <w:rFonts w:hint="eastAsia" w:ascii="仿宋_GB2312" w:hAnsi="仿宋_GB2312" w:eastAsia="仿宋_GB2312"/>
          <w:sz w:val="32"/>
          <w:lang w:eastAsia="zh-CN"/>
        </w:rPr>
        <w:t>区域</w:t>
      </w:r>
      <w:r>
        <w:rPr>
          <w:rFonts w:ascii="仿宋_GB2312" w:hAnsi="仿宋_GB2312" w:eastAsia="仿宋_GB2312"/>
          <w:sz w:val="32"/>
        </w:rPr>
        <w:t>调剂平衡工作、落实自治区、自治州城乡医疗保障待遇标准、待遇调整措施、贯彻落实长期护理保险制度改革的实施方案。</w:t>
      </w:r>
    </w:p>
    <w:p w14:paraId="5EAB346D">
      <w:pPr>
        <w:spacing w:line="580" w:lineRule="exact"/>
        <w:ind w:firstLine="640"/>
        <w:jc w:val="both"/>
      </w:pPr>
      <w:r>
        <w:rPr>
          <w:rFonts w:ascii="仿宋_GB2312" w:hAnsi="仿宋_GB2312" w:eastAsia="仿宋_GB2312"/>
          <w:sz w:val="32"/>
        </w:rPr>
        <w:t>（四）贯彻落实药品、医用耗材价格和医疗服务项目、医疗服务设施收费等政策、贯彻落实药品、医用耗材的招标采购政策、落实医保支付医药服务价格动态调整措施、贯彻落实市场主导的社会医药服务价格机制、贯彻落实医药服务价格信息监测和信息发布制度、配合做好药品、医用耗材招标采购平台建设。</w:t>
      </w:r>
    </w:p>
    <w:p w14:paraId="13953184">
      <w:pPr>
        <w:spacing w:line="580" w:lineRule="exact"/>
        <w:ind w:firstLine="640"/>
        <w:jc w:val="both"/>
      </w:pPr>
      <w:r>
        <w:rPr>
          <w:rFonts w:ascii="仿宋_GB2312" w:hAnsi="仿宋_GB2312" w:eastAsia="仿宋_GB2312"/>
          <w:sz w:val="32"/>
        </w:rPr>
        <w:t>（五）贯彻落实自治区、自治州统一的药品、医用耗材、医疗服务项目、医疗服务设施等医保目录和支付标准、贯彻落实动态调整措施。</w:t>
      </w:r>
    </w:p>
    <w:p w14:paraId="7FEDBC12">
      <w:pPr>
        <w:spacing w:line="580" w:lineRule="exact"/>
        <w:ind w:firstLine="640"/>
        <w:jc w:val="both"/>
      </w:pPr>
      <w:r>
        <w:rPr>
          <w:rFonts w:ascii="仿宋_GB2312" w:hAnsi="仿宋_GB2312" w:eastAsia="仿宋_GB2312"/>
          <w:sz w:val="32"/>
        </w:rPr>
        <w:t>（六）贯彻实施定点医药机构协议和支付管理办法、落实医疗保障信用评价体系、监督管理纳入医保范围内的医疗服务行为和医疗费用、依法查处医疗保障、生育保险领域违法违规行为。</w:t>
      </w:r>
    </w:p>
    <w:p w14:paraId="7C327711">
      <w:pPr>
        <w:spacing w:line="580" w:lineRule="exact"/>
        <w:ind w:firstLine="640"/>
        <w:jc w:val="both"/>
      </w:pPr>
      <w:r>
        <w:rPr>
          <w:rFonts w:ascii="仿宋_GB2312" w:hAnsi="仿宋_GB2312" w:eastAsia="仿宋_GB2312"/>
          <w:sz w:val="32"/>
        </w:rPr>
        <w:t>（七）贯彻落实国家、自治区、自治州跨省跨地异地就医管理和费用结算政策、落实州内异地就医和费用结算政策措施</w:t>
      </w:r>
      <w:r>
        <w:rPr>
          <w:rFonts w:hint="eastAsia" w:ascii="仿宋_GB2312" w:hAnsi="仿宋_GB2312" w:eastAsia="仿宋_GB2312"/>
          <w:sz w:val="32"/>
          <w:lang w:eastAsia="zh-CN"/>
        </w:rPr>
        <w:t>、落</w:t>
      </w:r>
      <w:r>
        <w:rPr>
          <w:rFonts w:ascii="仿宋_GB2312" w:hAnsi="仿宋_GB2312" w:eastAsia="仿宋_GB2312"/>
          <w:sz w:val="32"/>
        </w:rPr>
        <w:t>实医疗保障经办管理、公共服务体系和信息化建设、贯彻落实医疗</w:t>
      </w:r>
      <w:r>
        <w:rPr>
          <w:rFonts w:ascii="仿宋_GB2312" w:hAnsi="仿宋_GB2312" w:eastAsia="仿宋_GB2312"/>
          <w:spacing w:val="6"/>
          <w:sz w:val="32"/>
        </w:rPr>
        <w:t>保障关系转移接续制度措施、指导医疗保障经办机构开展业务工作</w:t>
      </w:r>
      <w:r>
        <w:rPr>
          <w:rFonts w:ascii="仿宋_GB2312" w:hAnsi="仿宋_GB2312" w:eastAsia="仿宋_GB2312"/>
          <w:sz w:val="32"/>
        </w:rPr>
        <w:t>。</w:t>
      </w:r>
    </w:p>
    <w:p w14:paraId="061CA949">
      <w:pPr>
        <w:spacing w:line="580" w:lineRule="exact"/>
        <w:ind w:firstLine="640"/>
        <w:jc w:val="both"/>
      </w:pPr>
      <w:r>
        <w:rPr>
          <w:rFonts w:ascii="仿宋_GB2312" w:hAnsi="仿宋_GB2312" w:eastAsia="仿宋_GB2312"/>
          <w:sz w:val="32"/>
        </w:rPr>
        <w:t>（八）完成县委、县人民政府交办的其他任务。</w:t>
      </w:r>
    </w:p>
    <w:p w14:paraId="0AF05D5C">
      <w:pPr>
        <w:spacing w:line="640" w:lineRule="exact"/>
        <w:ind w:firstLine="640"/>
        <w:jc w:val="both"/>
        <w:outlineLvl w:val="2"/>
      </w:pPr>
      <w:r>
        <w:rPr>
          <w:rFonts w:ascii="黑体" w:hAnsi="黑体" w:eastAsia="黑体"/>
          <w:sz w:val="32"/>
        </w:rPr>
        <w:t>二、机构设置及人员情况</w:t>
      </w:r>
    </w:p>
    <w:p w14:paraId="0FB1C68B">
      <w:pPr>
        <w:spacing w:line="580" w:lineRule="exact"/>
        <w:ind w:firstLine="640"/>
        <w:jc w:val="both"/>
      </w:pPr>
      <w:r>
        <w:rPr>
          <w:rFonts w:ascii="仿宋_GB2312" w:hAnsi="仿宋_GB2312" w:eastAsia="仿宋_GB2312"/>
          <w:sz w:val="32"/>
        </w:rPr>
        <w:t>特克斯县医疗保障局2024年度，实有人数19人，其中：在职人员16人，减少1人；离休人员0人，增加0人；退休人员3人,增加1人。</w:t>
      </w:r>
    </w:p>
    <w:p w14:paraId="011881B9">
      <w:pPr>
        <w:spacing w:line="580" w:lineRule="exact"/>
        <w:ind w:firstLine="640"/>
        <w:jc w:val="both"/>
      </w:pPr>
      <w:r>
        <w:rPr>
          <w:rFonts w:ascii="仿宋_GB2312" w:hAnsi="仿宋_GB2312" w:eastAsia="仿宋_GB2312"/>
          <w:sz w:val="32"/>
        </w:rPr>
        <w:t>特克斯县医疗保障局无下属预算</w:t>
      </w:r>
      <w:r>
        <w:rPr>
          <w:rFonts w:hint="eastAsia" w:ascii="仿宋_GB2312" w:hAnsi="仿宋_GB2312" w:eastAsia="仿宋_GB2312"/>
          <w:sz w:val="32"/>
          <w:lang w:eastAsia="zh-CN"/>
        </w:rPr>
        <w:t>单位</w:t>
      </w:r>
      <w:r>
        <w:rPr>
          <w:rFonts w:ascii="仿宋_GB2312" w:hAnsi="仿宋_GB2312" w:eastAsia="仿宋_GB2312"/>
          <w:sz w:val="32"/>
        </w:rPr>
        <w:t>，下设4个科室，分别是：办公室、财务室、医保科、征缴科。</w:t>
      </w:r>
    </w:p>
    <w:p w14:paraId="7863E2D8">
      <w:r>
        <w:br w:type="page"/>
      </w:r>
    </w:p>
    <w:p w14:paraId="5D7FAF18">
      <w:pPr>
        <w:spacing w:line="240" w:lineRule="auto"/>
        <w:jc w:val="center"/>
        <w:outlineLvl w:val="1"/>
      </w:pPr>
      <w:r>
        <w:rPr>
          <w:rFonts w:ascii="黑体" w:hAnsi="黑体" w:eastAsia="黑体"/>
          <w:sz w:val="32"/>
        </w:rPr>
        <w:t>第二部分 部门决算情况说明</w:t>
      </w:r>
    </w:p>
    <w:p w14:paraId="3FF2CEB6">
      <w:pPr>
        <w:spacing w:line="640" w:lineRule="exact"/>
        <w:ind w:firstLine="640"/>
        <w:jc w:val="both"/>
        <w:outlineLvl w:val="2"/>
      </w:pPr>
      <w:r>
        <w:rPr>
          <w:rFonts w:ascii="黑体" w:hAnsi="黑体" w:eastAsia="黑体"/>
          <w:sz w:val="32"/>
        </w:rPr>
        <w:t>一、收入支出决算总体情况说明</w:t>
      </w:r>
    </w:p>
    <w:p w14:paraId="48A327CD">
      <w:pPr>
        <w:spacing w:line="580" w:lineRule="exact"/>
        <w:ind w:firstLine="640"/>
        <w:jc w:val="both"/>
      </w:pPr>
      <w:r>
        <w:rPr>
          <w:rFonts w:ascii="仿宋_GB2312" w:hAnsi="仿宋_GB2312" w:eastAsia="仿宋_GB2312"/>
          <w:b/>
          <w:sz w:val="32"/>
        </w:rPr>
        <w:t>2024年度收入总计401.77万元，</w:t>
      </w:r>
      <w:r>
        <w:rPr>
          <w:rFonts w:ascii="仿宋_GB2312" w:hAnsi="仿宋_GB2312" w:eastAsia="仿宋_GB2312"/>
          <w:b w:val="0"/>
          <w:sz w:val="32"/>
        </w:rPr>
        <w:t>其中：本年收入合计401.77万元，使用非财政拨款结余（含专用结余）0.00万元，年初结转和结余0.00万元。</w:t>
      </w:r>
    </w:p>
    <w:p w14:paraId="0CE583F4">
      <w:pPr>
        <w:spacing w:line="580" w:lineRule="exact"/>
        <w:ind w:firstLine="640"/>
        <w:jc w:val="both"/>
      </w:pPr>
      <w:r>
        <w:rPr>
          <w:rFonts w:ascii="仿宋_GB2312" w:hAnsi="仿宋_GB2312" w:eastAsia="仿宋_GB2312"/>
          <w:b/>
          <w:sz w:val="32"/>
        </w:rPr>
        <w:t>2024年度支出总计401.77万元，</w:t>
      </w:r>
      <w:r>
        <w:rPr>
          <w:rFonts w:ascii="仿宋_GB2312" w:hAnsi="仿宋_GB2312" w:eastAsia="仿宋_GB2312"/>
          <w:b w:val="0"/>
          <w:sz w:val="32"/>
        </w:rPr>
        <w:t>其中：本年支出合计401.77万元，结余分配0.00万元，年末结转和结余0.00万元。</w:t>
      </w:r>
    </w:p>
    <w:p w14:paraId="385DB739">
      <w:pPr>
        <w:spacing w:line="580" w:lineRule="exact"/>
        <w:ind w:firstLine="640"/>
        <w:jc w:val="both"/>
      </w:pPr>
      <w:r>
        <w:rPr>
          <w:rFonts w:ascii="仿宋_GB2312" w:hAnsi="仿宋_GB2312" w:eastAsia="仿宋_GB2312"/>
          <w:b w:val="0"/>
          <w:sz w:val="32"/>
        </w:rPr>
        <w:t>收入支出总体与上年相比，增加80.92万元，增长25.22%，主要原因是：本年在职人员工资调增，社保、公积金基数调增，人员经费增加；本年增加自治区全县居民人身意外伤害保险补助资金。</w:t>
      </w:r>
    </w:p>
    <w:p w14:paraId="7AFC9D21">
      <w:pPr>
        <w:spacing w:line="640" w:lineRule="exact"/>
        <w:ind w:firstLine="640"/>
        <w:jc w:val="both"/>
        <w:outlineLvl w:val="2"/>
      </w:pPr>
      <w:r>
        <w:rPr>
          <w:rFonts w:ascii="黑体" w:hAnsi="黑体" w:eastAsia="黑体"/>
          <w:sz w:val="32"/>
        </w:rPr>
        <w:t>二、收入决算情况说明</w:t>
      </w:r>
    </w:p>
    <w:p w14:paraId="5FFB97AB">
      <w:pPr>
        <w:spacing w:line="580" w:lineRule="exact"/>
        <w:ind w:firstLine="640"/>
        <w:jc w:val="both"/>
      </w:pPr>
      <w:r>
        <w:rPr>
          <w:rFonts w:ascii="仿宋_GB2312" w:hAnsi="仿宋_GB2312" w:eastAsia="仿宋_GB2312"/>
          <w:b/>
          <w:sz w:val="32"/>
        </w:rPr>
        <w:t>本年收入401.77万元，</w:t>
      </w:r>
      <w:r>
        <w:rPr>
          <w:rFonts w:ascii="仿宋_GB2312" w:hAnsi="仿宋_GB2312" w:eastAsia="仿宋_GB2312"/>
          <w:b w:val="0"/>
          <w:sz w:val="32"/>
        </w:rPr>
        <w:t>其中：财政拨款收入396.94万元，占98.80%；上级补助收入0.00万元，占0.00%；事业收入0.00万元，占0.00%；经营收入0.00万元，占0.00%；附属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上缴收入0.00万元，占0.00%；其他收入4.83万元，占1.20%。</w:t>
      </w:r>
    </w:p>
    <w:p w14:paraId="0893A49F">
      <w:pPr>
        <w:spacing w:line="640" w:lineRule="exact"/>
        <w:ind w:firstLine="640"/>
        <w:jc w:val="both"/>
        <w:outlineLvl w:val="2"/>
      </w:pPr>
      <w:r>
        <w:rPr>
          <w:rFonts w:ascii="黑体" w:hAnsi="黑体" w:eastAsia="黑体"/>
          <w:sz w:val="32"/>
        </w:rPr>
        <w:t>三、支出决算情况说明</w:t>
      </w:r>
    </w:p>
    <w:p w14:paraId="1601BCA0">
      <w:pPr>
        <w:spacing w:line="580" w:lineRule="exact"/>
        <w:ind w:firstLine="640"/>
        <w:jc w:val="both"/>
      </w:pPr>
      <w:r>
        <w:rPr>
          <w:rFonts w:ascii="仿宋_GB2312" w:hAnsi="仿宋_GB2312" w:eastAsia="仿宋_GB2312"/>
          <w:b/>
          <w:sz w:val="32"/>
        </w:rPr>
        <w:t>本年支出401.77万元，</w:t>
      </w:r>
      <w:r>
        <w:rPr>
          <w:rFonts w:ascii="仿宋_GB2312" w:hAnsi="仿宋_GB2312" w:eastAsia="仿宋_GB2312"/>
          <w:b w:val="0"/>
          <w:sz w:val="32"/>
        </w:rPr>
        <w:t>其中：基本支出297.51万元，占74.05%；项目支出104.26万元，占25.95%；上缴上级支出0.00万元，占0.00%；经营支出0.00万元，占0.00%；对附属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56CAC7CB">
      <w:pPr>
        <w:spacing w:line="640" w:lineRule="exact"/>
        <w:ind w:firstLine="640"/>
        <w:jc w:val="both"/>
        <w:outlineLvl w:val="2"/>
      </w:pPr>
      <w:r>
        <w:rPr>
          <w:rFonts w:ascii="黑体" w:hAnsi="黑体" w:eastAsia="黑体"/>
          <w:sz w:val="32"/>
        </w:rPr>
        <w:t>四、财政拨款收入支出决算总体情况说明</w:t>
      </w:r>
    </w:p>
    <w:p w14:paraId="3E7F3ECD">
      <w:pPr>
        <w:spacing w:line="580" w:lineRule="exact"/>
        <w:ind w:firstLine="640"/>
        <w:jc w:val="both"/>
      </w:pPr>
      <w:r>
        <w:rPr>
          <w:rFonts w:ascii="仿宋_GB2312" w:hAnsi="仿宋_GB2312" w:eastAsia="仿宋_GB2312"/>
          <w:b/>
          <w:sz w:val="32"/>
        </w:rPr>
        <w:t>2024年度财政拨款收入总计396.94万元，</w:t>
      </w:r>
      <w:r>
        <w:rPr>
          <w:rFonts w:ascii="仿宋_GB2312" w:hAnsi="仿宋_GB2312" w:eastAsia="仿宋_GB2312"/>
          <w:b w:val="0"/>
          <w:sz w:val="32"/>
        </w:rPr>
        <w:t>其中：年初财政拨款结转和结余0.00万元，本年财政拨款收入396.94万元。</w:t>
      </w:r>
      <w:r>
        <w:rPr>
          <w:rFonts w:ascii="仿宋_GB2312" w:hAnsi="仿宋_GB2312" w:eastAsia="仿宋_GB2312"/>
          <w:b/>
          <w:sz w:val="32"/>
        </w:rPr>
        <w:t>财政拨款支出总计396.94万元，</w:t>
      </w:r>
      <w:r>
        <w:rPr>
          <w:rFonts w:ascii="仿宋_GB2312" w:hAnsi="仿宋_GB2312" w:eastAsia="仿宋_GB2312"/>
          <w:b w:val="0"/>
          <w:sz w:val="32"/>
        </w:rPr>
        <w:t>其中：年末财政拨款结转和结余0.00万元，本年财政拨款支出396.94万元。</w:t>
      </w:r>
    </w:p>
    <w:p w14:paraId="287407A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增加76.09万元，增长23.72%，主要原因是：本年在职人员工资调增，社保、公积金基数调增，人员经费增加；本年增加自治区全县居民人身意外伤害保险补助资金。</w:t>
      </w:r>
      <w:r>
        <w:rPr>
          <w:rFonts w:ascii="仿宋_GB2312" w:hAnsi="仿宋_GB2312" w:eastAsia="仿宋_GB2312"/>
          <w:b/>
          <w:sz w:val="32"/>
        </w:rPr>
        <w:t>与年初预算相比，</w:t>
      </w:r>
      <w:r>
        <w:rPr>
          <w:rFonts w:ascii="仿宋_GB2312" w:hAnsi="仿宋_GB2312" w:eastAsia="仿宋_GB2312"/>
          <w:b w:val="0"/>
          <w:sz w:val="32"/>
        </w:rPr>
        <w:t>年初预算数419.70万元，决算数396.94万元，预决算差异率-5.42%，主要原因是：本年在职人员减少，年中调减人员经费，导致预决算存在差异。</w:t>
      </w:r>
    </w:p>
    <w:p w14:paraId="6416AF47">
      <w:pPr>
        <w:spacing w:line="640" w:lineRule="exact"/>
        <w:ind w:firstLine="640"/>
        <w:jc w:val="both"/>
        <w:outlineLvl w:val="2"/>
      </w:pPr>
      <w:r>
        <w:rPr>
          <w:rFonts w:ascii="黑体" w:hAnsi="黑体" w:eastAsia="黑体"/>
          <w:sz w:val="32"/>
        </w:rPr>
        <w:t>五、一般公共预算财政拨款支出决算情况说明</w:t>
      </w:r>
    </w:p>
    <w:p w14:paraId="3C803878">
      <w:pPr>
        <w:spacing w:line="640" w:lineRule="exact"/>
        <w:ind w:firstLine="640"/>
        <w:jc w:val="both"/>
        <w:outlineLvl w:val="3"/>
      </w:pPr>
      <w:r>
        <w:rPr>
          <w:rFonts w:ascii="楷体_GB2312" w:hAnsi="楷体_GB2312" w:eastAsia="楷体_GB2312"/>
          <w:b/>
          <w:sz w:val="32"/>
        </w:rPr>
        <w:t>（一）一般公共预算财政拨款支出决算总体情况</w:t>
      </w:r>
    </w:p>
    <w:p w14:paraId="0B3EBFEC">
      <w:pPr>
        <w:spacing w:line="580" w:lineRule="exact"/>
        <w:ind w:firstLine="640"/>
        <w:jc w:val="both"/>
      </w:pPr>
      <w:r>
        <w:rPr>
          <w:rFonts w:ascii="仿宋_GB2312" w:hAnsi="仿宋_GB2312" w:eastAsia="仿宋_GB2312"/>
          <w:b/>
          <w:sz w:val="32"/>
        </w:rPr>
        <w:t>2024年度一般公共预算财政拨款支出396.94万元，</w:t>
      </w:r>
      <w:r>
        <w:rPr>
          <w:rFonts w:ascii="仿宋_GB2312" w:hAnsi="仿宋_GB2312" w:eastAsia="仿宋_GB2312"/>
          <w:b w:val="0"/>
          <w:sz w:val="32"/>
        </w:rPr>
        <w:t>占本年支出合计的98.80%。</w:t>
      </w:r>
      <w:r>
        <w:rPr>
          <w:rFonts w:ascii="仿宋_GB2312" w:hAnsi="仿宋_GB2312" w:eastAsia="仿宋_GB2312"/>
          <w:b/>
          <w:sz w:val="32"/>
        </w:rPr>
        <w:t>与上年相比，</w:t>
      </w:r>
      <w:r>
        <w:rPr>
          <w:rFonts w:ascii="仿宋_GB2312" w:hAnsi="仿宋_GB2312" w:eastAsia="仿宋_GB2312"/>
          <w:b w:val="0"/>
          <w:sz w:val="32"/>
        </w:rPr>
        <w:t>增加76.09万元，增长23.72%，主要原因是：本年在职人员工资调增，社保、公积金基数调增，人员经费增加；本年增加自治区全县居民人身意外伤害保险补助资金。</w:t>
      </w:r>
      <w:r>
        <w:rPr>
          <w:rFonts w:ascii="仿宋_GB2312" w:hAnsi="仿宋_GB2312" w:eastAsia="仿宋_GB2312"/>
          <w:b/>
          <w:sz w:val="32"/>
        </w:rPr>
        <w:t>与年初预算相比,</w:t>
      </w:r>
      <w:r>
        <w:rPr>
          <w:rFonts w:ascii="仿宋_GB2312" w:hAnsi="仿宋_GB2312" w:eastAsia="仿宋_GB2312"/>
          <w:b w:val="0"/>
          <w:sz w:val="32"/>
        </w:rPr>
        <w:t>年初预算数419.70万元，决算数396.94万元，预决算差异率-5.42%，主要原因是：本年在职人员减少，年中调减人员经费，导致预决算存在差异。</w:t>
      </w:r>
    </w:p>
    <w:p w14:paraId="05180263">
      <w:pPr>
        <w:spacing w:line="640" w:lineRule="exact"/>
        <w:ind w:firstLine="640"/>
        <w:jc w:val="both"/>
        <w:outlineLvl w:val="3"/>
      </w:pPr>
      <w:r>
        <w:rPr>
          <w:rFonts w:ascii="楷体_GB2312" w:hAnsi="楷体_GB2312" w:eastAsia="楷体_GB2312"/>
          <w:b/>
          <w:sz w:val="32"/>
        </w:rPr>
        <w:t>（二）一般公共预算财政拨款支出决算结构情况</w:t>
      </w:r>
    </w:p>
    <w:p w14:paraId="663990DA">
      <w:pPr>
        <w:spacing w:line="580" w:lineRule="exact"/>
        <w:ind w:firstLine="640"/>
        <w:jc w:val="both"/>
      </w:pPr>
      <w:r>
        <w:rPr>
          <w:rFonts w:ascii="仿宋_GB2312" w:hAnsi="仿宋_GB2312" w:eastAsia="仿宋_GB2312"/>
          <w:b w:val="0"/>
          <w:sz w:val="32"/>
        </w:rPr>
        <w:t>1.社会保障和就业支出(类)38.74万元,占9.76%。</w:t>
      </w:r>
    </w:p>
    <w:p w14:paraId="6B819F6F">
      <w:pPr>
        <w:spacing w:line="580" w:lineRule="exact"/>
        <w:ind w:firstLine="640"/>
        <w:jc w:val="both"/>
      </w:pPr>
      <w:r>
        <w:rPr>
          <w:rFonts w:ascii="仿宋_GB2312" w:hAnsi="仿宋_GB2312" w:eastAsia="仿宋_GB2312"/>
          <w:b w:val="0"/>
          <w:sz w:val="32"/>
        </w:rPr>
        <w:t>2.卫生健康支出(类)335.62万元,占84.55%。</w:t>
      </w:r>
    </w:p>
    <w:p w14:paraId="75BC8898">
      <w:pPr>
        <w:spacing w:line="580" w:lineRule="exact"/>
        <w:ind w:firstLine="640"/>
        <w:jc w:val="both"/>
      </w:pPr>
      <w:r>
        <w:rPr>
          <w:rFonts w:ascii="仿宋_GB2312" w:hAnsi="仿宋_GB2312" w:eastAsia="仿宋_GB2312"/>
          <w:b w:val="0"/>
          <w:sz w:val="32"/>
        </w:rPr>
        <w:t>3.住房保障支出(类)22.58万元,占5.69%。</w:t>
      </w:r>
    </w:p>
    <w:p w14:paraId="582343BA">
      <w:pPr>
        <w:spacing w:line="640" w:lineRule="exact"/>
        <w:ind w:firstLine="640"/>
        <w:jc w:val="both"/>
        <w:outlineLvl w:val="3"/>
      </w:pPr>
      <w:r>
        <w:rPr>
          <w:rFonts w:ascii="楷体_GB2312" w:hAnsi="楷体_GB2312" w:eastAsia="楷体_GB2312"/>
          <w:b/>
          <w:sz w:val="32"/>
        </w:rPr>
        <w:t>（三）一般公共预算财政拨款支出决算具体情况</w:t>
      </w:r>
    </w:p>
    <w:p w14:paraId="0BB9F979">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基本养老保险缴费支出(项):支出决算数为29.15万元，比上年决算增加0.72万元，增长2.53%,主要原因是：本年在职人员工资基数调增，养老缴费基数上涨，相应支出增加。</w:t>
      </w:r>
    </w:p>
    <w:p w14:paraId="4F71E139">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职业年金缴费支出(项):支出决算数为9.59万元，比上年决算增加3.13万元，增长48.45%,主要原因是：本年行政在职人员1名职工退休，职业年金缴费支出增加。</w:t>
      </w:r>
    </w:p>
    <w:p w14:paraId="3DCF19C2">
      <w:pPr>
        <w:spacing w:line="580" w:lineRule="exact"/>
        <w:ind w:firstLine="640"/>
        <w:jc w:val="both"/>
      </w:pPr>
      <w:r>
        <w:rPr>
          <w:rFonts w:ascii="仿宋_GB2312" w:hAnsi="仿宋_GB2312" w:eastAsia="仿宋_GB2312"/>
          <w:b w:val="0"/>
          <w:sz w:val="32"/>
        </w:rPr>
        <w:t>3.卫生健康支出(类)行政事业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医疗(项):支出决算数为4.12万元，比上年决算减少0.97万元，下降19.06%,主要原因是：本年行政在职人员1名职工退休，行政</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327BE3B8">
      <w:pPr>
        <w:spacing w:line="580" w:lineRule="exact"/>
        <w:ind w:firstLine="640"/>
        <w:jc w:val="both"/>
      </w:pPr>
      <w:r>
        <w:rPr>
          <w:rFonts w:ascii="仿宋_GB2312" w:hAnsi="仿宋_GB2312" w:eastAsia="仿宋_GB2312"/>
          <w:b w:val="0"/>
          <w:sz w:val="32"/>
        </w:rPr>
        <w:t>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医疗(项):支出决算数为8.37万元，比上年决算增加0.31万元，增长3.85%,主要原因是：本年在职人员工资基数调增，医疗缴费基数上涨，相应支出增加。</w:t>
      </w:r>
    </w:p>
    <w:p w14:paraId="16DE7BFB">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医疗(款)公务员医疗补助(项):支出决算数为0.10万元，比上年决算减少0.07万元，下降41.18%,主要原因是：本年行政在职人员1名职工退休，公务员医疗补助较上年减少。</w:t>
      </w:r>
    </w:p>
    <w:p w14:paraId="6A51C801">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医疗支出(项):支出决算数为0.20万元，比上年决算减少0.02万元，下降9.09%,主要原因是：本年行政在职人员1名职工退休，其他行政事业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6FF22D83">
      <w:pPr>
        <w:spacing w:line="580" w:lineRule="exact"/>
        <w:ind w:firstLine="640"/>
        <w:jc w:val="both"/>
      </w:pPr>
      <w:r>
        <w:rPr>
          <w:rFonts w:ascii="仿宋_GB2312" w:hAnsi="仿宋_GB2312" w:eastAsia="仿宋_GB2312"/>
          <w:b w:val="0"/>
          <w:sz w:val="32"/>
        </w:rPr>
        <w:t>7.卫生健康支出(类)医疗救助(款)其他医疗救助支出(项):支出决算数为101.26万元，比上年决算增加101.26万元，增长100.00%,主要原因是：本年增加自治区全县居民人身意外伤害保险补助资金。</w:t>
      </w:r>
    </w:p>
    <w:p w14:paraId="14AB9C94">
      <w:pPr>
        <w:spacing w:line="580" w:lineRule="exact"/>
        <w:ind w:firstLine="640"/>
        <w:jc w:val="both"/>
      </w:pPr>
      <w:r>
        <w:rPr>
          <w:rFonts w:ascii="仿宋_GB2312" w:hAnsi="仿宋_GB2312" w:eastAsia="仿宋_GB2312"/>
          <w:b w:val="0"/>
          <w:sz w:val="32"/>
        </w:rPr>
        <w:t>8.卫生健康支出(类)医疗保障管理事务(款)行政运行(项):支出决算数为218.57万元，比上年决算减少20.67万元，下降8.64%,主要原因是：本年行政在职人员1名职工退休，相应人员经费较上年减少。</w:t>
      </w:r>
    </w:p>
    <w:p w14:paraId="0579BFFA">
      <w:pPr>
        <w:spacing w:line="580" w:lineRule="exact"/>
        <w:ind w:firstLine="640"/>
        <w:jc w:val="both"/>
      </w:pPr>
      <w:r>
        <w:rPr>
          <w:rFonts w:ascii="仿宋_GB2312" w:hAnsi="仿宋_GB2312" w:eastAsia="仿宋_GB2312"/>
          <w:b w:val="0"/>
          <w:sz w:val="32"/>
        </w:rPr>
        <w:t>9.卫生健康支出(类)医疗保障管理事务(款)其他医疗保障管理事务支出(项):支出决算数为3.00万元，比上年决算减少7.00万元，下降70.00%,主要原因是：本年减少自治区全民参保及医疗保障服务补助资金。</w:t>
      </w:r>
    </w:p>
    <w:p w14:paraId="0EA6AA15">
      <w:pPr>
        <w:spacing w:line="580" w:lineRule="exact"/>
        <w:ind w:firstLine="640"/>
        <w:jc w:val="both"/>
      </w:pPr>
      <w:r>
        <w:rPr>
          <w:rFonts w:ascii="仿宋_GB2312" w:hAnsi="仿宋_GB2312" w:eastAsia="仿宋_GB2312"/>
          <w:b w:val="0"/>
          <w:sz w:val="32"/>
        </w:rPr>
        <w:t>10.住房保障支出(类)住房改革支出(款)住房公积金(项):支出决算数为22.58万元，比上年决算减少0.58万元，下降2.50%,主要原因是：本年行政在职人员1名职工退休，住房公积金缴费较上年减少。</w:t>
      </w:r>
    </w:p>
    <w:p w14:paraId="1AC1823D">
      <w:pPr>
        <w:spacing w:line="640" w:lineRule="exact"/>
        <w:ind w:firstLine="640"/>
        <w:jc w:val="both"/>
        <w:outlineLvl w:val="2"/>
      </w:pPr>
      <w:r>
        <w:rPr>
          <w:rFonts w:ascii="黑体" w:hAnsi="黑体" w:eastAsia="黑体"/>
          <w:sz w:val="32"/>
        </w:rPr>
        <w:t>六、一般公共预算财政拨款基本支出决算情况说明</w:t>
      </w:r>
    </w:p>
    <w:p w14:paraId="5480B050">
      <w:pPr>
        <w:spacing w:line="580" w:lineRule="exact"/>
        <w:ind w:firstLine="640"/>
        <w:jc w:val="both"/>
      </w:pPr>
      <w:r>
        <w:rPr>
          <w:rFonts w:ascii="仿宋_GB2312" w:hAnsi="仿宋_GB2312" w:eastAsia="仿宋_GB2312"/>
          <w:b w:val="0"/>
          <w:sz w:val="32"/>
        </w:rPr>
        <w:t>2024年度一般公共预算财政拨款基本支出292.68万元，其中：</w:t>
      </w:r>
      <w:r>
        <w:rPr>
          <w:rFonts w:ascii="仿宋_GB2312" w:hAnsi="仿宋_GB2312" w:eastAsia="仿宋_GB2312"/>
          <w:b/>
          <w:sz w:val="32"/>
        </w:rPr>
        <w:t>人员经费288.13万元，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w:t>
      </w:r>
    </w:p>
    <w:p w14:paraId="4080DBF4">
      <w:pPr>
        <w:spacing w:line="580" w:lineRule="exact"/>
        <w:ind w:firstLine="640"/>
        <w:jc w:val="both"/>
      </w:pPr>
      <w:r>
        <w:rPr>
          <w:rFonts w:ascii="仿宋_GB2312" w:hAnsi="仿宋_GB2312" w:eastAsia="仿宋_GB2312"/>
          <w:b/>
          <w:sz w:val="32"/>
        </w:rPr>
        <w:t>公用经费4.55万元，</w:t>
      </w:r>
      <w:r>
        <w:rPr>
          <w:rFonts w:ascii="仿宋_GB2312" w:hAnsi="仿宋_GB2312" w:eastAsia="仿宋_GB2312"/>
          <w:b w:val="0"/>
          <w:sz w:val="32"/>
        </w:rPr>
        <w:t>包括：办公费、邮电费、差旅费、工会经费、福利费、公务用车运行维护费。</w:t>
      </w:r>
    </w:p>
    <w:p w14:paraId="5C2FA2D5">
      <w:pPr>
        <w:spacing w:line="640" w:lineRule="exact"/>
        <w:ind w:firstLine="640"/>
        <w:jc w:val="both"/>
        <w:outlineLvl w:val="2"/>
      </w:pPr>
      <w:r>
        <w:rPr>
          <w:rFonts w:ascii="黑体" w:hAnsi="黑体" w:eastAsia="黑体"/>
          <w:sz w:val="32"/>
        </w:rPr>
        <w:t>七、政府性基金预算财政拨款收入支出决算情况说明</w:t>
      </w:r>
    </w:p>
    <w:p w14:paraId="638971E1">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03236C9E">
      <w:pPr>
        <w:spacing w:line="640" w:lineRule="exact"/>
        <w:ind w:firstLine="640"/>
        <w:jc w:val="both"/>
        <w:outlineLvl w:val="2"/>
      </w:pPr>
      <w:r>
        <w:rPr>
          <w:rFonts w:ascii="黑体" w:hAnsi="黑体" w:eastAsia="黑体"/>
          <w:sz w:val="32"/>
        </w:rPr>
        <w:t>八、国有资本经营预算财政拨款收入支出决算情况说明</w:t>
      </w:r>
    </w:p>
    <w:p w14:paraId="6329E87A">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7311EA8F">
      <w:pPr>
        <w:spacing w:line="640" w:lineRule="exact"/>
        <w:ind w:firstLine="640"/>
        <w:jc w:val="both"/>
        <w:outlineLvl w:val="2"/>
      </w:pPr>
      <w:r>
        <w:rPr>
          <w:rFonts w:ascii="黑体" w:hAnsi="黑体" w:eastAsia="黑体"/>
          <w:sz w:val="32"/>
        </w:rPr>
        <w:t>九、财政拨款“三公”经费支出决算情况说明</w:t>
      </w:r>
    </w:p>
    <w:p w14:paraId="667CD201">
      <w:pPr>
        <w:spacing w:line="580" w:lineRule="exact"/>
        <w:ind w:firstLine="640"/>
        <w:jc w:val="both"/>
      </w:pPr>
      <w:r>
        <w:rPr>
          <w:rFonts w:ascii="仿宋_GB2312" w:hAnsi="仿宋_GB2312" w:eastAsia="仿宋_GB2312"/>
          <w:b/>
          <w:sz w:val="32"/>
        </w:rPr>
        <w:t>2024年度财政拨款“三公”经费支出0.80万元，</w:t>
      </w:r>
      <w:r>
        <w:rPr>
          <w:rFonts w:ascii="仿宋_GB2312" w:hAnsi="仿宋_GB2312" w:eastAsia="仿宋_GB2312"/>
          <w:b w:val="0"/>
          <w:sz w:val="32"/>
        </w:rPr>
        <w:t>比上年增加0.02万元，增长2.56%，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0.80万元，占100.00%，比上年增加0.02万元，增长2.56%，主要原因是：本年因业务需求，用车次数增加，燃油费增加，导致公务用车运行维护费较上年增加。公务接待费支出0.00万元，占0.00%，比上年增加0.00万元，增长0.00%，主要原因是：2023年与2024年均未安排公务接待费支出。</w:t>
      </w:r>
    </w:p>
    <w:p w14:paraId="62AFB0AF">
      <w:pPr>
        <w:spacing w:line="580" w:lineRule="exact"/>
        <w:ind w:firstLine="640"/>
        <w:jc w:val="both"/>
      </w:pPr>
      <w:r>
        <w:rPr>
          <w:rFonts w:ascii="仿宋_GB2312" w:hAnsi="仿宋_GB2312" w:eastAsia="仿宋_GB2312"/>
          <w:b/>
          <w:sz w:val="32"/>
        </w:rPr>
        <w:t>具体情况如下：</w:t>
      </w:r>
    </w:p>
    <w:p w14:paraId="5DAD0250">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4EEEF2FB">
      <w:pPr>
        <w:spacing w:line="580" w:lineRule="exact"/>
        <w:ind w:firstLine="640"/>
        <w:jc w:val="both"/>
      </w:pPr>
      <w:r>
        <w:rPr>
          <w:rFonts w:ascii="仿宋_GB2312" w:hAnsi="仿宋_GB2312" w:eastAsia="仿宋_GB2312"/>
          <w:b w:val="0"/>
          <w:sz w:val="32"/>
        </w:rPr>
        <w:t>公务用车购置及运行维护费0.80万元，其中：公务用车购置费0.00万元，公务用车运行维护费0.80万元。公务用车运行维护费开支内容包括车辆加油费、维修费、保险费、审车费、过路费等。公务用车购置数0辆，公务用车保有量1辆。国有资产占用情况中固定资产车辆1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106B5F61">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0CC9BDD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0.80万元，决算数0.80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0.80万元，决算数0.80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7D3A96CA">
      <w:pPr>
        <w:spacing w:line="640" w:lineRule="exact"/>
        <w:ind w:firstLine="640"/>
        <w:jc w:val="both"/>
        <w:outlineLvl w:val="2"/>
      </w:pPr>
      <w:r>
        <w:rPr>
          <w:rFonts w:ascii="黑体" w:hAnsi="黑体" w:eastAsia="黑体"/>
          <w:sz w:val="32"/>
        </w:rPr>
        <w:t>十、其他重要事项的情况说明</w:t>
      </w:r>
    </w:p>
    <w:p w14:paraId="04527A10">
      <w:pPr>
        <w:spacing w:line="640" w:lineRule="exact"/>
        <w:ind w:firstLine="640"/>
        <w:jc w:val="both"/>
        <w:outlineLvl w:val="3"/>
      </w:pPr>
      <w:r>
        <w:rPr>
          <w:rFonts w:ascii="楷体_GB2312" w:hAnsi="楷体_GB2312" w:eastAsia="楷体_GB2312"/>
          <w:b/>
          <w:sz w:val="32"/>
        </w:rPr>
        <w:t>（一）机关运行经费及公用经费支出情况</w:t>
      </w:r>
    </w:p>
    <w:p w14:paraId="208EA358">
      <w:pPr>
        <w:spacing w:line="580" w:lineRule="exact"/>
        <w:ind w:firstLine="640"/>
        <w:jc w:val="both"/>
      </w:pPr>
      <w:r>
        <w:rPr>
          <w:rFonts w:ascii="仿宋_GB2312" w:hAnsi="仿宋_GB2312" w:eastAsia="仿宋_GB2312"/>
          <w:b w:val="0"/>
          <w:sz w:val="32"/>
        </w:rPr>
        <w:t>2024年度特克斯县医疗保障局（行政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）机关运行经费支出4.55万元，比上年减少1.99万元，下降30.43%，主要原因是：严控经费支出，厉行节约，减少经费支出。</w:t>
      </w:r>
    </w:p>
    <w:p w14:paraId="0D868B18">
      <w:pPr>
        <w:spacing w:line="640" w:lineRule="exact"/>
        <w:ind w:firstLine="640"/>
        <w:jc w:val="both"/>
        <w:outlineLvl w:val="3"/>
      </w:pPr>
      <w:r>
        <w:rPr>
          <w:rFonts w:ascii="楷体_GB2312" w:hAnsi="楷体_GB2312" w:eastAsia="楷体_GB2312"/>
          <w:b/>
          <w:sz w:val="32"/>
        </w:rPr>
        <w:t>（二）政府采购情况</w:t>
      </w:r>
    </w:p>
    <w:p w14:paraId="3A6D6297">
      <w:pPr>
        <w:spacing w:line="580" w:lineRule="exact"/>
        <w:ind w:firstLine="640"/>
        <w:jc w:val="both"/>
      </w:pPr>
      <w:r>
        <w:rPr>
          <w:rFonts w:ascii="仿宋_GB2312" w:hAnsi="仿宋_GB2312" w:eastAsia="仿宋_GB2312"/>
          <w:b w:val="0"/>
          <w:sz w:val="32"/>
        </w:rPr>
        <w:t>2024年度政府采购支出总额5.85万元，其中：政府采购货物支出2.53万元、政府采购工程支出0.00万元、政府采购服务支出3.32万元。</w:t>
      </w:r>
    </w:p>
    <w:p w14:paraId="56F1548C">
      <w:pPr>
        <w:spacing w:line="580" w:lineRule="exact"/>
        <w:ind w:firstLine="640"/>
        <w:jc w:val="both"/>
      </w:pPr>
      <w:r>
        <w:rPr>
          <w:rFonts w:ascii="仿宋_GB2312" w:hAnsi="仿宋_GB2312" w:eastAsia="仿宋_GB2312"/>
          <w:b w:val="0"/>
          <w:sz w:val="32"/>
        </w:rPr>
        <w:t>授予中小企业合同金额5.28万元，占政府采购支出总额的90.26%，其中：授予小微企业合同金额5.28万元，占政府采购支出总额的90.26%。</w:t>
      </w:r>
    </w:p>
    <w:p w14:paraId="12A27657">
      <w:pPr>
        <w:spacing w:line="640" w:lineRule="exact"/>
        <w:ind w:firstLine="640"/>
        <w:jc w:val="both"/>
        <w:outlineLvl w:val="3"/>
      </w:pPr>
      <w:r>
        <w:rPr>
          <w:rFonts w:ascii="楷体_GB2312" w:hAnsi="楷体_GB2312" w:eastAsia="楷体_GB2312"/>
          <w:b/>
          <w:sz w:val="32"/>
        </w:rPr>
        <w:t>（三）国有资产占用情况说明</w:t>
      </w:r>
    </w:p>
    <w:p w14:paraId="43CC7300">
      <w:pPr>
        <w:spacing w:line="580" w:lineRule="exact"/>
        <w:ind w:firstLine="640"/>
        <w:jc w:val="both"/>
      </w:pPr>
      <w:r>
        <w:rPr>
          <w:rFonts w:ascii="仿宋_GB2312" w:hAnsi="仿宋_GB2312" w:eastAsia="仿宋_GB2312"/>
          <w:b w:val="0"/>
          <w:sz w:val="32"/>
        </w:rPr>
        <w:t>截至2024年12月31日，房屋0.00平方米，价值0.00万元。车辆1辆，价值9.26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3FF342B4">
      <w:pPr>
        <w:spacing w:line="640" w:lineRule="exact"/>
        <w:ind w:firstLine="640"/>
        <w:jc w:val="both"/>
        <w:outlineLvl w:val="2"/>
      </w:pPr>
      <w:r>
        <w:rPr>
          <w:rFonts w:ascii="黑体" w:hAnsi="黑体" w:eastAsia="黑体"/>
          <w:sz w:val="32"/>
        </w:rPr>
        <w:t>十一、预算绩效的情况说明</w:t>
      </w:r>
    </w:p>
    <w:p w14:paraId="6410E661">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2024年度预算绩效管理形成整体支出绩效自评表1个，全年预算总额401.77万元，实际执行总额401.77万元；预算绩效评价项目</w:t>
      </w:r>
      <w:r>
        <w:rPr>
          <w:rFonts w:hint="eastAsia" w:ascii="仿宋_GB2312" w:hAnsi="仿宋_GB2312" w:eastAsia="仿宋_GB2312"/>
          <w:b w:val="0"/>
          <w:sz w:val="32"/>
          <w:lang w:val="en-US" w:eastAsia="zh-CN"/>
        </w:rPr>
        <w:t>4</w:t>
      </w:r>
      <w:r>
        <w:rPr>
          <w:rFonts w:ascii="仿宋_GB2312" w:hAnsi="仿宋_GB2312" w:eastAsia="仿宋_GB2312"/>
          <w:b w:val="0"/>
          <w:sz w:val="32"/>
        </w:rPr>
        <w:t>个，全年预算数</w:t>
      </w:r>
      <w:r>
        <w:rPr>
          <w:rFonts w:hint="eastAsia" w:ascii="仿宋_GB2312" w:hAnsi="仿宋_GB2312" w:eastAsia="仿宋_GB2312"/>
          <w:b w:val="0"/>
          <w:sz w:val="32"/>
        </w:rPr>
        <w:t>188.32</w:t>
      </w:r>
      <w:r>
        <w:rPr>
          <w:rFonts w:ascii="仿宋_GB2312" w:hAnsi="仿宋_GB2312" w:eastAsia="仿宋_GB2312"/>
          <w:b w:val="0"/>
          <w:sz w:val="32"/>
        </w:rPr>
        <w:t>万元，全年执行数</w:t>
      </w:r>
      <w:r>
        <w:rPr>
          <w:rFonts w:hint="eastAsia" w:ascii="仿宋_GB2312" w:hAnsi="仿宋_GB2312" w:eastAsia="仿宋_GB2312"/>
          <w:b w:val="0"/>
          <w:sz w:val="32"/>
        </w:rPr>
        <w:t>175.32</w:t>
      </w:r>
      <w:r>
        <w:rPr>
          <w:rFonts w:ascii="仿宋_GB2312" w:hAnsi="仿宋_GB2312" w:eastAsia="仿宋_GB2312"/>
          <w:b w:val="0"/>
          <w:sz w:val="32"/>
        </w:rPr>
        <w:t>万元。预算绩效管理取得的成效：一是管理制度健全性：本</w:t>
      </w:r>
      <w:r>
        <w:rPr>
          <w:rFonts w:hint="eastAsia" w:ascii="仿宋_GB2312" w:hAnsi="仿宋_GB2312" w:eastAsia="仿宋_GB2312"/>
          <w:b w:val="0"/>
          <w:sz w:val="32"/>
          <w:lang w:eastAsia="zh-CN"/>
        </w:rPr>
        <w:t>单位</w:t>
      </w:r>
      <w:r>
        <w:rPr>
          <w:rFonts w:ascii="仿宋_GB2312" w:hAnsi="仿宋_GB2312" w:eastAsia="仿宋_GB2312"/>
          <w:b w:val="0"/>
          <w:sz w:val="32"/>
        </w:rPr>
        <w:t>为加强预算管理，规范财务行为，已制定《特克斯县医疗保障局部门</w:t>
      </w:r>
      <w:r>
        <w:rPr>
          <w:rFonts w:hint="eastAsia" w:ascii="仿宋_GB2312" w:hAnsi="仿宋_GB2312" w:eastAsia="仿宋_GB2312"/>
          <w:b w:val="0"/>
          <w:sz w:val="32"/>
          <w:lang w:eastAsia="zh-CN"/>
        </w:rPr>
        <w:t>单位</w:t>
      </w:r>
      <w:r>
        <w:rPr>
          <w:rFonts w:ascii="仿宋_GB2312" w:hAnsi="仿宋_GB2312" w:eastAsia="仿宋_GB2312"/>
          <w:b w:val="0"/>
          <w:sz w:val="32"/>
        </w:rPr>
        <w:t>预算绩效管理工作实施办法》《特克斯县医疗保障局</w:t>
      </w:r>
      <w:r>
        <w:rPr>
          <w:rFonts w:hint="eastAsia" w:ascii="仿宋_GB2312" w:hAnsi="仿宋_GB2312" w:eastAsia="仿宋_GB2312"/>
          <w:b w:val="0"/>
          <w:sz w:val="32"/>
          <w:lang w:eastAsia="zh-CN"/>
        </w:rPr>
        <w:t>单位</w:t>
      </w:r>
      <w:r>
        <w:rPr>
          <w:rFonts w:ascii="仿宋_GB2312" w:hAnsi="仿宋_GB2312" w:eastAsia="仿宋_GB2312"/>
          <w:b w:val="0"/>
          <w:sz w:val="32"/>
        </w:rPr>
        <w:t>财务管理制度》等健全完整的各项管理制度，有效保障了我部门高效</w:t>
      </w:r>
      <w:r>
        <w:rPr>
          <w:rFonts w:hint="eastAsia" w:ascii="仿宋_GB2312" w:hAnsi="仿宋_GB2312" w:eastAsia="仿宋_GB2312"/>
          <w:b w:val="0"/>
          <w:sz w:val="32"/>
          <w:lang w:eastAsia="zh-CN"/>
        </w:rPr>
        <w:t>地</w:t>
      </w:r>
      <w:r>
        <w:rPr>
          <w:rFonts w:ascii="仿宋_GB2312" w:hAnsi="仿宋_GB2312" w:eastAsia="仿宋_GB2312"/>
          <w:b w:val="0"/>
          <w:sz w:val="32"/>
        </w:rPr>
        <w:t>履行工作职能，较</w:t>
      </w:r>
      <w:r>
        <w:rPr>
          <w:rFonts w:hint="eastAsia" w:ascii="仿宋_GB2312" w:hAnsi="仿宋_GB2312" w:eastAsia="仿宋_GB2312"/>
          <w:b w:val="0"/>
          <w:sz w:val="32"/>
          <w:lang w:eastAsia="zh-CN"/>
        </w:rPr>
        <w:t>好地</w:t>
      </w:r>
      <w:r>
        <w:rPr>
          <w:rFonts w:ascii="仿宋_GB2312" w:hAnsi="仿宋_GB2312" w:eastAsia="仿宋_GB2312"/>
          <w:b w:val="0"/>
          <w:sz w:val="32"/>
        </w:rPr>
        <w:t>促进事业发展；二是资金使用合规性和安全性：部门预算资金使用符合国家法规和财务管理制度；预算资金拨付有完整的审批程序和手续，符合项目预算批复或合同规定的用途；不存在截留、挤占、挪用、虚列支出等情况，确保我部门预算资金规范运行；三是预决算信息公开性：</w:t>
      </w:r>
      <w:r>
        <w:rPr>
          <w:rFonts w:hint="eastAsia" w:ascii="仿宋_GB2312" w:hAnsi="仿宋_GB2312" w:eastAsia="仿宋_GB2312"/>
          <w:b w:val="0"/>
          <w:sz w:val="32"/>
          <w:lang w:eastAsia="zh-CN"/>
        </w:rPr>
        <w:t>本单位</w:t>
      </w:r>
      <w:r>
        <w:rPr>
          <w:rFonts w:ascii="仿宋_GB2312" w:hAnsi="仿宋_GB2312" w:eastAsia="仿宋_GB2312"/>
          <w:b w:val="0"/>
          <w:sz w:val="32"/>
        </w:rPr>
        <w:t>严格按照财政部门预算编制与预算调整的工作要求，在预算编制、分配依据充分的条件下，切实做好“先定目标再编预算”，确保预算分配结果合理。同时按照《中华人民共和国政府信息公开条例》（国令〔711〕号）及《伊犁哈萨克自治州人民政府信息公开指南》预决算信息公开工作要求，本</w:t>
      </w:r>
      <w:r>
        <w:rPr>
          <w:rFonts w:hint="eastAsia" w:ascii="仿宋_GB2312" w:hAnsi="仿宋_GB2312" w:eastAsia="仿宋_GB2312"/>
          <w:b w:val="0"/>
          <w:sz w:val="32"/>
          <w:lang w:eastAsia="zh-CN"/>
        </w:rPr>
        <w:t>单位</w:t>
      </w:r>
      <w:r>
        <w:rPr>
          <w:rFonts w:ascii="仿宋_GB2312" w:hAnsi="仿宋_GB2312" w:eastAsia="仿宋_GB2312"/>
          <w:b w:val="0"/>
          <w:sz w:val="32"/>
        </w:rPr>
        <w:t>部门预算及绩效目标在伊犁哈萨克自治州人民政府网公开，广泛接受社会监督。发现的问题及原因：一是财务人员财政资金绩效意识不足，认为只要</w:t>
      </w:r>
      <w:r>
        <w:rPr>
          <w:rFonts w:hint="eastAsia" w:ascii="仿宋_GB2312" w:hAnsi="仿宋_GB2312" w:eastAsia="仿宋_GB2312"/>
          <w:b w:val="0"/>
          <w:sz w:val="32"/>
          <w:lang w:eastAsia="zh-CN"/>
        </w:rPr>
        <w:t>财政资金使用</w:t>
      </w:r>
      <w:r>
        <w:rPr>
          <w:rFonts w:ascii="仿宋_GB2312" w:hAnsi="仿宋_GB2312" w:eastAsia="仿宋_GB2312"/>
          <w:b w:val="0"/>
          <w:sz w:val="32"/>
        </w:rPr>
        <w:t>合法合规就行，对其使用成效不够重视；二是项目绩效管理工作的社会监督不足。下一步改进措施：一是认真学习财政资金绩效管理制度，相关政策，提高财务业务知识水平，基金统收统支、管理服务一体的标准，进一步完善基本医疗保险州级统筹制度体系，严格执行医疗保障待遇清单制度，提高财政资金使用效率；二是全面推进全民参保计划，实施精准参保扩面，宣传职工基本医疗保险和城乡居民基本医疗保险制度，巩固提高参保覆盖率，财政资金收益情况公示，接受社会监督。具体附整体支出绩效自评表，项目支出绩效自评表和评价报告。</w:t>
      </w:r>
    </w:p>
    <w:p w14:paraId="2FBD0341">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459"/>
        <w:gridCol w:w="646"/>
        <w:gridCol w:w="1105"/>
        <w:gridCol w:w="1105"/>
        <w:gridCol w:w="1105"/>
      </w:tblGrid>
      <w:tr w14:paraId="6CF1135E">
        <w:tblPrEx>
          <w:tblCellMar>
            <w:top w:w="0" w:type="dxa"/>
            <w:left w:w="108" w:type="dxa"/>
            <w:bottom w:w="0" w:type="dxa"/>
            <w:right w:w="108" w:type="dxa"/>
          </w:tblCellMar>
        </w:tblPrEx>
        <w:tc>
          <w:tcPr>
            <w:tcW w:w="8840" w:type="dxa"/>
            <w:gridSpan w:val="9"/>
            <w:vAlign w:val="center"/>
          </w:tcPr>
          <w:p w14:paraId="64980F0B">
            <w:pPr>
              <w:jc w:val="center"/>
            </w:pPr>
            <w:r>
              <w:rPr>
                <w:rFonts w:hint="eastAsia" w:ascii="宋体" w:hAnsi="宋体"/>
                <w:sz w:val="24"/>
                <w:lang w:eastAsia="zh-CN"/>
              </w:rPr>
              <w:t>单位</w:t>
            </w:r>
            <w:r>
              <w:rPr>
                <w:rFonts w:ascii="宋体" w:hAnsi="宋体" w:eastAsia="宋体"/>
                <w:sz w:val="24"/>
              </w:rPr>
              <w:t>整体支出绩效自评表</w:t>
            </w:r>
          </w:p>
        </w:tc>
      </w:tr>
      <w:tr w14:paraId="5C832C72">
        <w:tblPrEx>
          <w:tblCellMar>
            <w:top w:w="0" w:type="dxa"/>
            <w:left w:w="108" w:type="dxa"/>
            <w:bottom w:w="0" w:type="dxa"/>
            <w:right w:w="108" w:type="dxa"/>
          </w:tblCellMar>
        </w:tblPrEx>
        <w:tc>
          <w:tcPr>
            <w:tcW w:w="8840" w:type="dxa"/>
            <w:gridSpan w:val="9"/>
            <w:vAlign w:val="center"/>
          </w:tcPr>
          <w:p w14:paraId="1C27E905">
            <w:pPr>
              <w:jc w:val="center"/>
            </w:pPr>
            <w:r>
              <w:rPr>
                <w:rFonts w:ascii="宋体" w:hAnsi="宋体" w:eastAsia="宋体"/>
                <w:sz w:val="24"/>
              </w:rPr>
              <w:t>（2024年度）</w:t>
            </w:r>
          </w:p>
        </w:tc>
      </w:tr>
      <w:tr w14:paraId="30F24D3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66FD83">
            <w:pPr>
              <w:jc w:val="center"/>
            </w:pPr>
            <w:r>
              <w:rPr>
                <w:rFonts w:hint="eastAsia" w:ascii="宋体" w:hAnsi="宋体"/>
                <w:sz w:val="16"/>
                <w:lang w:eastAsia="zh-CN"/>
              </w:rPr>
              <w:t>单位</w:t>
            </w:r>
            <w:r>
              <w:rPr>
                <w:rFonts w:ascii="宋体" w:hAnsi="宋体" w:eastAsia="宋体"/>
                <w:sz w:val="16"/>
              </w:rPr>
              <w:t>名称</w:t>
            </w:r>
          </w:p>
        </w:tc>
        <w:tc>
          <w:tcPr>
            <w:tcW w:w="7735"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E09009E">
            <w:pPr>
              <w:jc w:val="center"/>
            </w:pPr>
            <w:r>
              <w:rPr>
                <w:rFonts w:ascii="宋体" w:hAnsi="宋体" w:eastAsia="宋体"/>
                <w:sz w:val="16"/>
              </w:rPr>
              <w:t>特克斯县医疗保障局</w:t>
            </w:r>
          </w:p>
        </w:tc>
      </w:tr>
      <w:tr w14:paraId="2C1C819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ED3E8">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81542D">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19B433">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0B6FC9">
            <w:pPr>
              <w:jc w:val="center"/>
            </w:pPr>
            <w:r>
              <w:rPr>
                <w:rFonts w:ascii="宋体" w:hAnsi="宋体" w:eastAsia="宋体"/>
                <w:sz w:val="16"/>
              </w:rPr>
              <w:t>全年预算数</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3D729">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A5D75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173D81">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93433C">
            <w:pPr>
              <w:jc w:val="center"/>
            </w:pPr>
            <w:r>
              <w:rPr>
                <w:rFonts w:ascii="宋体" w:hAnsi="宋体" w:eastAsia="宋体"/>
                <w:sz w:val="16"/>
              </w:rPr>
              <w:t>得分</w:t>
            </w:r>
          </w:p>
        </w:tc>
      </w:tr>
      <w:tr w14:paraId="78A4A56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7EFCA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313EB0">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42E197">
            <w:pPr>
              <w:jc w:val="center"/>
            </w:pPr>
            <w:r>
              <w:rPr>
                <w:rFonts w:ascii="宋体" w:hAnsi="宋体" w:eastAsia="宋体"/>
                <w:sz w:val="16"/>
              </w:rPr>
              <w:t>1,091.63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623868">
            <w:pPr>
              <w:jc w:val="center"/>
            </w:pPr>
            <w:r>
              <w:rPr>
                <w:rFonts w:ascii="宋体" w:hAnsi="宋体" w:eastAsia="宋体"/>
                <w:sz w:val="16"/>
              </w:rPr>
              <w:t>401.77</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2C3B8">
            <w:pPr>
              <w:jc w:val="center"/>
            </w:pPr>
            <w:r>
              <w:rPr>
                <w:rFonts w:ascii="宋体" w:hAnsi="宋体" w:eastAsia="宋体"/>
                <w:sz w:val="16"/>
              </w:rPr>
              <w:t>401.77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6CEA2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4E1FD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36671C">
            <w:pPr>
              <w:jc w:val="center"/>
            </w:pPr>
            <w:r>
              <w:rPr>
                <w:rFonts w:ascii="宋体" w:hAnsi="宋体" w:eastAsia="宋体"/>
                <w:sz w:val="16"/>
              </w:rPr>
              <w:t>10</w:t>
            </w:r>
          </w:p>
        </w:tc>
      </w:tr>
      <w:tr w14:paraId="5E3A689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01037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9A1DC9">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D94DCD">
            <w:pPr>
              <w:jc w:val="center"/>
            </w:pPr>
            <w:r>
              <w:rPr>
                <w:rFonts w:ascii="宋体" w:hAnsi="宋体" w:eastAsia="宋体"/>
                <w:sz w:val="16"/>
              </w:rPr>
              <w:t>104.26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CEFD4F">
            <w:pPr>
              <w:jc w:val="center"/>
            </w:pPr>
            <w:r>
              <w:rPr>
                <w:rFonts w:ascii="宋体" w:hAnsi="宋体" w:eastAsia="宋体"/>
                <w:sz w:val="16"/>
              </w:rPr>
              <w:t>104.26</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7CA5B">
            <w:pPr>
              <w:jc w:val="center"/>
            </w:pPr>
            <w:r>
              <w:rPr>
                <w:rFonts w:ascii="宋体" w:hAnsi="宋体" w:eastAsia="宋体"/>
                <w:sz w:val="16"/>
              </w:rPr>
              <w:t>104.26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B1A12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C8381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CFC2F9">
            <w:pPr>
              <w:jc w:val="center"/>
            </w:pPr>
            <w:r>
              <w:rPr>
                <w:rFonts w:ascii="宋体" w:hAnsi="宋体" w:eastAsia="宋体"/>
                <w:sz w:val="16"/>
              </w:rPr>
              <w:t>-</w:t>
            </w:r>
          </w:p>
        </w:tc>
      </w:tr>
      <w:tr w14:paraId="649B8D2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05D56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9AA0C9">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93BD5F">
            <w:pPr>
              <w:jc w:val="center"/>
            </w:pPr>
            <w:r>
              <w:rPr>
                <w:rFonts w:ascii="宋体" w:hAnsi="宋体" w:eastAsia="宋体"/>
                <w:sz w:val="16"/>
              </w:rPr>
              <w:t>987.37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D1239B">
            <w:pPr>
              <w:jc w:val="center"/>
            </w:pPr>
            <w:r>
              <w:rPr>
                <w:rFonts w:ascii="宋体" w:hAnsi="宋体" w:eastAsia="宋体"/>
                <w:sz w:val="16"/>
              </w:rPr>
              <w:t>297.51</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F750C">
            <w:pPr>
              <w:jc w:val="center"/>
            </w:pPr>
            <w:r>
              <w:rPr>
                <w:rFonts w:ascii="宋体" w:hAnsi="宋体" w:eastAsia="宋体"/>
                <w:sz w:val="16"/>
              </w:rPr>
              <w:t>297.51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1746F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E35DC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576BF0">
            <w:pPr>
              <w:jc w:val="center"/>
            </w:pPr>
            <w:r>
              <w:rPr>
                <w:rFonts w:ascii="宋体" w:hAnsi="宋体" w:eastAsia="宋体"/>
                <w:sz w:val="16"/>
              </w:rPr>
              <w:t>-</w:t>
            </w:r>
          </w:p>
        </w:tc>
      </w:tr>
      <w:tr w14:paraId="6934F6A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E3BE8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6688D1">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94E53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14A9D2">
            <w:pPr>
              <w:jc w:val="center"/>
            </w:pPr>
            <w:r>
              <w:rPr>
                <w:rFonts w:ascii="宋体" w:hAnsi="宋体" w:eastAsia="宋体"/>
                <w:sz w:val="16"/>
              </w:rPr>
              <w:t>0.00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A892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41146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BB23F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1A0A36">
            <w:pPr>
              <w:jc w:val="center"/>
            </w:pPr>
            <w:r>
              <w:rPr>
                <w:rFonts w:ascii="宋体" w:hAnsi="宋体" w:eastAsia="宋体"/>
                <w:sz w:val="16"/>
              </w:rPr>
              <w:t>-</w:t>
            </w:r>
          </w:p>
        </w:tc>
      </w:tr>
      <w:tr w14:paraId="4E3C048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634CF">
            <w:pPr>
              <w:jc w:val="center"/>
            </w:pPr>
            <w:r>
              <w:rPr>
                <w:rFonts w:ascii="宋体" w:hAnsi="宋体" w:eastAsia="宋体"/>
                <w:sz w:val="16"/>
              </w:rPr>
              <w:t>年度总体目标</w:t>
            </w:r>
          </w:p>
        </w:tc>
        <w:tc>
          <w:tcPr>
            <w:tcW w:w="377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DE6583">
            <w:pPr>
              <w:jc w:val="center"/>
            </w:pPr>
            <w:r>
              <w:rPr>
                <w:rFonts w:ascii="宋体" w:hAnsi="宋体" w:eastAsia="宋体"/>
                <w:sz w:val="16"/>
              </w:rPr>
              <w:t>预期目标</w:t>
            </w:r>
          </w:p>
        </w:tc>
        <w:tc>
          <w:tcPr>
            <w:tcW w:w="3961"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B3BF9B">
            <w:pPr>
              <w:jc w:val="center"/>
            </w:pPr>
            <w:r>
              <w:rPr>
                <w:rFonts w:ascii="宋体" w:hAnsi="宋体" w:eastAsia="宋体"/>
                <w:sz w:val="16"/>
              </w:rPr>
              <w:t>实际完成情况</w:t>
            </w:r>
          </w:p>
        </w:tc>
      </w:tr>
      <w:tr w14:paraId="4F77286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CB576C6"/>
        </w:tc>
        <w:tc>
          <w:tcPr>
            <w:tcW w:w="377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90822C">
            <w:pPr>
              <w:jc w:val="both"/>
            </w:pPr>
            <w:r>
              <w:rPr>
                <w:rFonts w:ascii="宋体" w:hAnsi="宋体" w:eastAsia="宋体"/>
                <w:sz w:val="16"/>
              </w:rPr>
              <w:t>贯彻落实自治区、自治州医疗保障基金监督管理办法， 建立健全医疗保障基金安全防控机制，承担推进医疗保障基金支付方式改革工作，编制特克斯县医疗保障基金预决算草案。执行落实自治区、自治州医疗保障筹资和待遇政策， 配合做好动态调整和</w:t>
            </w:r>
            <w:r>
              <w:rPr>
                <w:rFonts w:hint="eastAsia" w:ascii="宋体" w:hAnsi="宋体"/>
                <w:sz w:val="16"/>
                <w:lang w:eastAsia="zh-CN"/>
              </w:rPr>
              <w:t>区域</w:t>
            </w:r>
            <w:r>
              <w:rPr>
                <w:rFonts w:ascii="宋体" w:hAnsi="宋体" w:eastAsia="宋体"/>
                <w:sz w:val="16"/>
              </w:rPr>
              <w:t>调剂平衡工作，落实自治区、自治州城乡居民基本医疗保障待遇标准、待遇调整措施，贯彻落实长期护理保险制度改革的实施方案。  确保基本医疗保险参保率均保持在95%以上，有序推进医保支付方式改革和职工基本医疗保险门诊共济保障，落实异地就医结算，积极发展商业医疗保险。依法保障妇女儿童合法权益，稳步提高城乡低保、特困人员、残疾人等保障水平，切实兜牢基本民生底线。</w:t>
            </w:r>
          </w:p>
        </w:tc>
        <w:tc>
          <w:tcPr>
            <w:tcW w:w="3961"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6DE916">
            <w:pPr>
              <w:jc w:val="both"/>
            </w:pPr>
            <w:r>
              <w:rPr>
                <w:rFonts w:ascii="宋体" w:hAnsi="宋体" w:eastAsia="宋体"/>
                <w:sz w:val="16"/>
              </w:rPr>
              <w:t>2024年度居民基本医疗保险参保人数122201人，参保率达到95%以上。城乡居民参加居民基本医疗保险，居民住院，门诊看病享受医保补偿待遇，减轻生活经济压力。稳步提高城乡低保、特困人员享受医保补偿惠民政策，切实兜牢基本民生底线。保障我县参加城乡居民基本医疗保险的县级配套资金，全部配套资金的8%县级财政拨款，保障我县83名企业下岗职工的参加职工医疗缴费费用，享受医保补偿待遇，减轻生活经济压力，保障</w:t>
            </w:r>
            <w:r>
              <w:rPr>
                <w:rFonts w:hint="eastAsia" w:ascii="宋体" w:hAnsi="宋体"/>
                <w:sz w:val="16"/>
                <w:lang w:eastAsia="zh-CN"/>
              </w:rPr>
              <w:t>中华人民共和国成立之前</w:t>
            </w:r>
            <w:r>
              <w:rPr>
                <w:rFonts w:ascii="宋体" w:hAnsi="宋体" w:eastAsia="宋体"/>
                <w:sz w:val="16"/>
              </w:rPr>
              <w:t>参加工作的6名离休人员的一次性周转金和看病待遇资金， 全县居民人身意外伤害保险个人不缴费，自治区，县级财政承担每人10元缴费，全县居民人身意外伤害住院看病，享受医保补偿待遇，减轻生活经济压力。</w:t>
            </w:r>
          </w:p>
        </w:tc>
      </w:tr>
      <w:tr w14:paraId="06F0F46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177380">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4A2275">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FFF343">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ACC74C">
            <w:pPr>
              <w:jc w:val="center"/>
            </w:pPr>
            <w:r>
              <w:rPr>
                <w:rFonts w:ascii="宋体" w:hAnsi="宋体" w:eastAsia="宋体"/>
                <w:sz w:val="16"/>
              </w:rPr>
              <w:t>预期指标值</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562B9">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533FD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E13A04">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AB3277">
            <w:pPr>
              <w:jc w:val="center"/>
            </w:pPr>
            <w:r>
              <w:rPr>
                <w:rFonts w:ascii="宋体" w:hAnsi="宋体" w:eastAsia="宋体"/>
                <w:sz w:val="16"/>
              </w:rPr>
              <w:t>得分</w:t>
            </w:r>
          </w:p>
        </w:tc>
      </w:tr>
      <w:tr w14:paraId="03C959C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2338A">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7539E">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C1F643">
            <w:pPr>
              <w:jc w:val="center"/>
            </w:pPr>
            <w:r>
              <w:rPr>
                <w:rFonts w:ascii="宋体" w:hAnsi="宋体" w:eastAsia="宋体"/>
                <w:sz w:val="16"/>
              </w:rPr>
              <w:t>城乡居民基本医疗保险参保人数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40D335">
            <w:pPr>
              <w:jc w:val="center"/>
            </w:pPr>
            <w:r>
              <w:rPr>
                <w:rFonts w:ascii="宋体" w:hAnsi="宋体" w:eastAsia="宋体"/>
                <w:sz w:val="16"/>
              </w:rPr>
              <w:t>&gt;=95%</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56B55">
            <w:pPr>
              <w:jc w:val="center"/>
            </w:pPr>
            <w:r>
              <w:rPr>
                <w:rFonts w:ascii="宋体" w:hAnsi="宋体" w:eastAsia="宋体"/>
                <w:sz w:val="16"/>
              </w:rPr>
              <w:t>重点工作计划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97CC1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AE3B8C">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AECE91">
            <w:pPr>
              <w:jc w:val="center"/>
            </w:pPr>
            <w:r>
              <w:rPr>
                <w:rFonts w:ascii="宋体" w:hAnsi="宋体" w:eastAsia="宋体"/>
                <w:sz w:val="16"/>
              </w:rPr>
              <w:t>20</w:t>
            </w:r>
          </w:p>
        </w:tc>
      </w:tr>
      <w:tr w14:paraId="3F50217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4DA92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2A120D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DDD6F2">
            <w:pPr>
              <w:jc w:val="center"/>
            </w:pPr>
            <w:r>
              <w:rPr>
                <w:rFonts w:ascii="宋体" w:hAnsi="宋体" w:eastAsia="宋体"/>
                <w:sz w:val="16"/>
              </w:rPr>
              <w:t>人身意外伤害补助资金参保人数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71AB27">
            <w:pPr>
              <w:jc w:val="center"/>
            </w:pPr>
            <w:r>
              <w:rPr>
                <w:rFonts w:ascii="宋体" w:hAnsi="宋体" w:eastAsia="宋体"/>
                <w:sz w:val="16"/>
              </w:rPr>
              <w:t>=142711人</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778DB">
            <w:pPr>
              <w:jc w:val="center"/>
            </w:pPr>
            <w:r>
              <w:rPr>
                <w:rFonts w:ascii="宋体" w:hAnsi="宋体" w:eastAsia="宋体"/>
                <w:sz w:val="16"/>
              </w:rPr>
              <w:t>伊州财社</w:t>
            </w:r>
            <w:r>
              <w:rPr>
                <w:rFonts w:hint="eastAsia" w:ascii="宋体" w:hAnsi="宋体"/>
                <w:sz w:val="16"/>
                <w:lang w:eastAsia="zh-CN"/>
              </w:rPr>
              <w:t>〔2023〕90号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C0640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769621">
            <w:pPr>
              <w:jc w:val="center"/>
            </w:pPr>
            <w:r>
              <w:rPr>
                <w:rFonts w:ascii="宋体" w:hAnsi="宋体" w:eastAsia="宋体"/>
                <w:sz w:val="16"/>
              </w:rPr>
              <w:t>142711人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C64332">
            <w:pPr>
              <w:jc w:val="center"/>
            </w:pPr>
            <w:r>
              <w:rPr>
                <w:rFonts w:ascii="宋体" w:hAnsi="宋体" w:eastAsia="宋体"/>
                <w:sz w:val="16"/>
              </w:rPr>
              <w:t>20</w:t>
            </w:r>
          </w:p>
        </w:tc>
      </w:tr>
      <w:tr w14:paraId="24F14D2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4AFC40"/>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3B60B">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5CE041">
            <w:pPr>
              <w:jc w:val="center"/>
            </w:pPr>
            <w:r>
              <w:rPr>
                <w:rFonts w:ascii="宋体" w:hAnsi="宋体" w:eastAsia="宋体"/>
                <w:sz w:val="16"/>
              </w:rPr>
              <w:t>重点救助对象符合规定的住院医疗费用救助比例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295A0E">
            <w:pPr>
              <w:jc w:val="center"/>
            </w:pPr>
            <w:r>
              <w:rPr>
                <w:rFonts w:ascii="宋体" w:hAnsi="宋体" w:eastAsia="宋体"/>
                <w:sz w:val="16"/>
              </w:rPr>
              <w:t>&gt;=60%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6C12D">
            <w:pPr>
              <w:jc w:val="center"/>
            </w:pPr>
            <w:r>
              <w:rPr>
                <w:rFonts w:ascii="宋体" w:hAnsi="宋体" w:eastAsia="宋体"/>
                <w:sz w:val="16"/>
              </w:rPr>
              <w:t>重点工作计划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38323B">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B3E51C">
            <w:pPr>
              <w:jc w:val="center"/>
            </w:pPr>
            <w:r>
              <w:rPr>
                <w:rFonts w:ascii="宋体" w:hAnsi="宋体" w:eastAsia="宋体"/>
                <w:sz w:val="16"/>
              </w:rPr>
              <w:t>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63DFA1">
            <w:pPr>
              <w:jc w:val="center"/>
            </w:pPr>
            <w:r>
              <w:rPr>
                <w:rFonts w:ascii="宋体" w:hAnsi="宋体" w:eastAsia="宋体"/>
                <w:sz w:val="16"/>
              </w:rPr>
              <w:t>25</w:t>
            </w:r>
          </w:p>
        </w:tc>
      </w:tr>
      <w:tr w14:paraId="20017C0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13F0CB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E10D2D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4D90EE">
            <w:pPr>
              <w:jc w:val="center"/>
            </w:pPr>
            <w:r>
              <w:rPr>
                <w:rFonts w:ascii="宋体" w:hAnsi="宋体" w:eastAsia="宋体"/>
                <w:sz w:val="16"/>
              </w:rPr>
              <w:t>人身意外伤害保险政策范围内赔付率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91E817">
            <w:pPr>
              <w:jc w:val="center"/>
            </w:pPr>
            <w:r>
              <w:rPr>
                <w:rFonts w:ascii="宋体" w:hAnsi="宋体" w:eastAsia="宋体"/>
                <w:sz w:val="16"/>
              </w:rPr>
              <w:t>&gt;=50%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C48B4">
            <w:pPr>
              <w:jc w:val="center"/>
            </w:pPr>
            <w:r>
              <w:rPr>
                <w:rFonts w:ascii="宋体" w:hAnsi="宋体" w:eastAsia="宋体"/>
                <w:sz w:val="16"/>
              </w:rPr>
              <w:t>重点工作计划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746696">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CD4ED1">
            <w:pPr>
              <w:jc w:val="center"/>
            </w:pPr>
            <w:r>
              <w:rPr>
                <w:rFonts w:ascii="宋体" w:hAnsi="宋体" w:eastAsia="宋体"/>
                <w:sz w:val="16"/>
              </w:rPr>
              <w:t>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3D8F66">
            <w:pPr>
              <w:jc w:val="center"/>
            </w:pPr>
            <w:r>
              <w:rPr>
                <w:rFonts w:ascii="宋体" w:hAnsi="宋体" w:eastAsia="宋体"/>
                <w:sz w:val="16"/>
              </w:rPr>
              <w:t>25</w:t>
            </w:r>
          </w:p>
        </w:tc>
      </w:tr>
    </w:tbl>
    <w:p w14:paraId="1C80AA1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180CBD9F">
        <w:tblPrEx>
          <w:tblCellMar>
            <w:top w:w="0" w:type="dxa"/>
            <w:left w:w="108" w:type="dxa"/>
            <w:bottom w:w="0" w:type="dxa"/>
            <w:right w:w="108" w:type="dxa"/>
          </w:tblCellMar>
        </w:tblPrEx>
        <w:tc>
          <w:tcPr>
            <w:tcW w:w="8848" w:type="dxa"/>
            <w:gridSpan w:val="14"/>
            <w:vAlign w:val="center"/>
          </w:tcPr>
          <w:p w14:paraId="4C5777F6">
            <w:pPr>
              <w:jc w:val="center"/>
            </w:pPr>
            <w:r>
              <w:rPr>
                <w:rFonts w:ascii="宋体" w:hAnsi="宋体" w:eastAsia="宋体"/>
                <w:sz w:val="24"/>
              </w:rPr>
              <w:t>项目支出绩效自评表</w:t>
            </w:r>
          </w:p>
        </w:tc>
      </w:tr>
      <w:tr w14:paraId="5F42499F">
        <w:tblPrEx>
          <w:tblCellMar>
            <w:top w:w="0" w:type="dxa"/>
            <w:left w:w="108" w:type="dxa"/>
            <w:bottom w:w="0" w:type="dxa"/>
            <w:right w:w="108" w:type="dxa"/>
          </w:tblCellMar>
        </w:tblPrEx>
        <w:tc>
          <w:tcPr>
            <w:tcW w:w="8848" w:type="dxa"/>
            <w:gridSpan w:val="14"/>
            <w:vAlign w:val="center"/>
          </w:tcPr>
          <w:p w14:paraId="616C84E7">
            <w:pPr>
              <w:jc w:val="center"/>
            </w:pPr>
            <w:r>
              <w:rPr>
                <w:rFonts w:ascii="宋体" w:hAnsi="宋体" w:eastAsia="宋体"/>
                <w:sz w:val="24"/>
              </w:rPr>
              <w:t>(2024年度)</w:t>
            </w:r>
          </w:p>
        </w:tc>
      </w:tr>
      <w:tr w14:paraId="4D3737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0225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25BE4D">
            <w:pPr>
              <w:jc w:val="center"/>
            </w:pPr>
            <w:r>
              <w:rPr>
                <w:rFonts w:ascii="宋体" w:hAnsi="宋体" w:eastAsia="宋体"/>
                <w:sz w:val="16"/>
              </w:rPr>
              <w:t>2024年全县人身意外伤害保险补助资金（本级）</w:t>
            </w:r>
          </w:p>
        </w:tc>
      </w:tr>
      <w:tr w14:paraId="7E68A1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E31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BF6D42">
            <w:pPr>
              <w:jc w:val="center"/>
            </w:pPr>
            <w:r>
              <w:rPr>
                <w:rFonts w:ascii="宋体" w:hAnsi="宋体" w:eastAsia="宋体"/>
                <w:sz w:val="16"/>
              </w:rPr>
              <w:t>特克斯县医疗保障局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DECD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C6FF97">
            <w:pPr>
              <w:jc w:val="center"/>
            </w:pPr>
            <w:r>
              <w:rPr>
                <w:rFonts w:ascii="宋体" w:hAnsi="宋体" w:eastAsia="宋体"/>
                <w:sz w:val="16"/>
              </w:rPr>
              <w:t>特克斯县医疗保障局</w:t>
            </w:r>
          </w:p>
        </w:tc>
      </w:tr>
      <w:tr w14:paraId="7369DB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318C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9563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650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9C7D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C91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8093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9256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34C9">
            <w:pPr>
              <w:jc w:val="center"/>
            </w:pPr>
            <w:r>
              <w:rPr>
                <w:rFonts w:ascii="宋体" w:hAnsi="宋体" w:eastAsia="宋体"/>
                <w:sz w:val="16"/>
              </w:rPr>
              <w:t>得分</w:t>
            </w:r>
          </w:p>
        </w:tc>
      </w:tr>
      <w:tr w14:paraId="2E60F5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BDB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E717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9D77C">
            <w:pPr>
              <w:jc w:val="center"/>
            </w:pPr>
            <w:r>
              <w:rPr>
                <w:rFonts w:ascii="宋体" w:hAnsi="宋体" w:eastAsia="宋体"/>
                <w:sz w:val="16"/>
              </w:rPr>
              <w:t>39.06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00597">
            <w:pPr>
              <w:jc w:val="center"/>
            </w:pPr>
            <w:r>
              <w:rPr>
                <w:rFonts w:ascii="宋体" w:hAnsi="宋体" w:eastAsia="宋体"/>
                <w:sz w:val="16"/>
              </w:rPr>
              <w:t>39.06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B0EA5">
            <w:pPr>
              <w:jc w:val="center"/>
            </w:pPr>
            <w:r>
              <w:rPr>
                <w:rFonts w:ascii="宋体" w:hAnsi="宋体" w:eastAsia="宋体"/>
                <w:sz w:val="16"/>
              </w:rPr>
              <w:t>39.06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FDE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2532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DB87">
            <w:pPr>
              <w:jc w:val="center"/>
            </w:pPr>
            <w:r>
              <w:rPr>
                <w:rFonts w:ascii="宋体" w:hAnsi="宋体" w:eastAsia="宋体"/>
                <w:sz w:val="16"/>
              </w:rPr>
              <w:t>10.00</w:t>
            </w:r>
          </w:p>
        </w:tc>
      </w:tr>
      <w:tr w14:paraId="3901E1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277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B8B3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74888">
            <w:pPr>
              <w:jc w:val="center"/>
            </w:pPr>
            <w:r>
              <w:rPr>
                <w:rFonts w:ascii="宋体" w:hAnsi="宋体" w:eastAsia="宋体"/>
                <w:sz w:val="16"/>
              </w:rPr>
              <w:t>39.06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54EDA">
            <w:pPr>
              <w:jc w:val="center"/>
            </w:pPr>
            <w:r>
              <w:rPr>
                <w:rFonts w:ascii="宋体" w:hAnsi="宋体" w:eastAsia="宋体"/>
                <w:sz w:val="16"/>
              </w:rPr>
              <w:t>39.06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2B444">
            <w:pPr>
              <w:jc w:val="center"/>
            </w:pPr>
            <w:r>
              <w:rPr>
                <w:rFonts w:ascii="宋体" w:hAnsi="宋体" w:eastAsia="宋体"/>
                <w:sz w:val="16"/>
              </w:rPr>
              <w:t>39.06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4A3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069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CF5E0">
            <w:pPr>
              <w:jc w:val="center"/>
            </w:pPr>
            <w:r>
              <w:rPr>
                <w:rFonts w:ascii="宋体" w:hAnsi="宋体" w:eastAsia="宋体"/>
                <w:sz w:val="16"/>
              </w:rPr>
              <w:t>—</w:t>
            </w:r>
          </w:p>
        </w:tc>
      </w:tr>
      <w:tr w14:paraId="63D075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824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F22D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802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D5D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B0D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06A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A19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DC4B">
            <w:pPr>
              <w:jc w:val="center"/>
            </w:pPr>
            <w:r>
              <w:rPr>
                <w:rFonts w:ascii="宋体" w:hAnsi="宋体" w:eastAsia="宋体"/>
                <w:sz w:val="16"/>
              </w:rPr>
              <w:t>—</w:t>
            </w:r>
          </w:p>
        </w:tc>
      </w:tr>
      <w:tr w14:paraId="62A5DB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6A12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D5859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FCF800">
            <w:pPr>
              <w:jc w:val="center"/>
            </w:pPr>
            <w:r>
              <w:rPr>
                <w:rFonts w:ascii="宋体" w:hAnsi="宋体" w:eastAsia="宋体"/>
                <w:sz w:val="16"/>
              </w:rPr>
              <w:t>实际完成情况</w:t>
            </w:r>
          </w:p>
        </w:tc>
      </w:tr>
      <w:tr w14:paraId="24841C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CE4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6D0248">
            <w:pPr>
              <w:jc w:val="both"/>
            </w:pPr>
            <w:r>
              <w:rPr>
                <w:rFonts w:ascii="宋体" w:hAnsi="宋体" w:eastAsia="宋体"/>
                <w:sz w:val="16"/>
              </w:rPr>
              <w:t>根据《关于建立和实施人身意外伤害保险的通知》（新人社发</w:t>
            </w:r>
            <w:r>
              <w:rPr>
                <w:rFonts w:hint="eastAsia" w:ascii="宋体" w:hAnsi="宋体"/>
                <w:sz w:val="16"/>
                <w:lang w:eastAsia="zh-CN"/>
              </w:rPr>
              <w:t>〔</w:t>
            </w:r>
            <w:r>
              <w:rPr>
                <w:rFonts w:ascii="宋体" w:hAnsi="宋体" w:eastAsia="宋体"/>
                <w:sz w:val="16"/>
              </w:rPr>
              <w:t>2022</w:t>
            </w:r>
            <w:r>
              <w:rPr>
                <w:rFonts w:hint="eastAsia" w:ascii="宋体" w:hAnsi="宋体"/>
                <w:sz w:val="16"/>
                <w:lang w:eastAsia="zh-CN"/>
              </w:rPr>
              <w:t>〕</w:t>
            </w:r>
            <w:r>
              <w:rPr>
                <w:rFonts w:ascii="宋体" w:hAnsi="宋体" w:eastAsia="宋体"/>
                <w:sz w:val="16"/>
              </w:rPr>
              <w:t>117号）为推进社保惠民，扩大全区各族群众医疗救助范围，实施自治区人身意外伤害保险普惠政策，对新疆户籍的居民，参加职工医疗和城乡居民医疗或兵团社保的非新疆居民及援疆工作人员予以参保，保险费由各级财政安排，个人不缴费，保障人身意外伤害对象减轻经济负担，社会满意度得到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43287E">
            <w:pPr>
              <w:jc w:val="both"/>
            </w:pPr>
            <w:r>
              <w:rPr>
                <w:rFonts w:ascii="宋体" w:hAnsi="宋体" w:eastAsia="宋体"/>
                <w:sz w:val="16"/>
              </w:rPr>
              <w:t>对新疆户籍的居民、参加职工医疗和城乡居民医疗或兵团社保的非新疆籍居民及援疆工作人员予以参保，共计14.27万人，每人每年10元的筹资标准，自治区按照7.0957元的标准，保险费由各级财政安排，保障人身意外保险对象经济负担减轻，社会满意度得到提升</w:t>
            </w:r>
          </w:p>
        </w:tc>
      </w:tr>
      <w:tr w14:paraId="3A889C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E58F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AC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59A2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98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15B9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FAD5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FDF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998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75F4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5477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394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32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F1A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FC01">
            <w:pPr>
              <w:jc w:val="center"/>
            </w:pPr>
            <w:r>
              <w:rPr>
                <w:rFonts w:ascii="宋体" w:hAnsi="宋体" w:eastAsia="宋体"/>
                <w:sz w:val="16"/>
              </w:rPr>
              <w:t>偏差原因分析及改进措施</w:t>
            </w:r>
          </w:p>
        </w:tc>
      </w:tr>
      <w:tr w14:paraId="3B8F24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BCD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3D61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8F0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930C8">
            <w:pPr>
              <w:jc w:val="center"/>
            </w:pPr>
            <w:r>
              <w:rPr>
                <w:rFonts w:ascii="宋体" w:hAnsi="宋体" w:eastAsia="宋体"/>
                <w:sz w:val="16"/>
              </w:rPr>
              <w:t>人身意外伤害保险保障人数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79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03C1">
            <w:pPr>
              <w:jc w:val="center"/>
            </w:pPr>
            <w:r>
              <w:rPr>
                <w:rFonts w:ascii="宋体" w:hAnsi="宋体" w:eastAsia="宋体"/>
                <w:sz w:val="16"/>
              </w:rPr>
              <w:t>=14.27万人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0C813">
            <w:pPr>
              <w:jc w:val="center"/>
            </w:pPr>
            <w:r>
              <w:rPr>
                <w:rFonts w:ascii="宋体" w:hAnsi="宋体" w:eastAsia="宋体"/>
                <w:sz w:val="16"/>
              </w:rPr>
              <w:t>14.27万人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448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582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999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F35C2">
            <w:pPr>
              <w:jc w:val="center"/>
            </w:pPr>
            <w:r>
              <w:rPr>
                <w:rFonts w:ascii="宋体" w:hAnsi="宋体" w:eastAsia="宋体"/>
                <w:sz w:val="16"/>
              </w:rPr>
              <w:t>14.27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7F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74ED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EE423">
            <w:pPr>
              <w:jc w:val="center"/>
            </w:pPr>
          </w:p>
        </w:tc>
      </w:tr>
      <w:tr w14:paraId="5AE4BF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41C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D86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5736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5F82A">
            <w:pPr>
              <w:jc w:val="center"/>
            </w:pPr>
            <w:r>
              <w:rPr>
                <w:rFonts w:ascii="宋体" w:hAnsi="宋体" w:eastAsia="宋体"/>
                <w:sz w:val="16"/>
              </w:rPr>
              <w:t>政策范围内赔付比例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EA2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4542">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1959">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EDA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7C8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F8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07A55">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D42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C1F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6D61">
            <w:pPr>
              <w:jc w:val="center"/>
            </w:pPr>
          </w:p>
        </w:tc>
      </w:tr>
      <w:tr w14:paraId="509117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E89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FAE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929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F0501">
            <w:pPr>
              <w:jc w:val="center"/>
            </w:pPr>
            <w:r>
              <w:rPr>
                <w:rFonts w:ascii="宋体" w:hAnsi="宋体" w:eastAsia="宋体"/>
                <w:sz w:val="16"/>
              </w:rPr>
              <w:t>人身意外伤害案件赔付率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31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F6B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6C40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862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056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3A3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5596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E66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FA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6301D">
            <w:pPr>
              <w:jc w:val="center"/>
            </w:pPr>
          </w:p>
        </w:tc>
      </w:tr>
      <w:tr w14:paraId="50CCC7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10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845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A4F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560B0">
            <w:pPr>
              <w:jc w:val="center"/>
            </w:pPr>
            <w:r>
              <w:rPr>
                <w:rFonts w:ascii="宋体" w:hAnsi="宋体" w:eastAsia="宋体"/>
                <w:sz w:val="16"/>
              </w:rPr>
              <w:t>各级财政补助资金到位率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8C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58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C19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649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BD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F0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83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AA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4CD9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23DC">
            <w:pPr>
              <w:jc w:val="center"/>
            </w:pPr>
          </w:p>
        </w:tc>
      </w:tr>
      <w:tr w14:paraId="77D046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EAA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72211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4BBA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A1989">
            <w:pPr>
              <w:jc w:val="center"/>
            </w:pPr>
            <w:r>
              <w:rPr>
                <w:rFonts w:hint="eastAsia" w:ascii="宋体" w:hAnsi="宋体"/>
                <w:sz w:val="16"/>
                <w:lang w:eastAsia="zh-CN"/>
              </w:rPr>
              <w:t>人均财政补助标准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FF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2636">
            <w:pPr>
              <w:jc w:val="center"/>
            </w:pPr>
            <w:r>
              <w:rPr>
                <w:rFonts w:ascii="宋体" w:hAnsi="宋体" w:eastAsia="宋体"/>
                <w:sz w:val="16"/>
              </w:rPr>
              <w:t>&lt;=10元/人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3AE23">
            <w:pPr>
              <w:jc w:val="center"/>
            </w:pPr>
            <w:r>
              <w:rPr>
                <w:rFonts w:ascii="宋体" w:hAnsi="宋体" w:eastAsia="宋体"/>
                <w:sz w:val="16"/>
              </w:rPr>
              <w:t>10元/人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DCB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F29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ED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1AC59">
            <w:pPr>
              <w:jc w:val="center"/>
            </w:pPr>
            <w:r>
              <w:rPr>
                <w:rFonts w:ascii="宋体" w:hAnsi="宋体" w:eastAsia="宋体"/>
                <w:sz w:val="16"/>
              </w:rPr>
              <w:t>10元/人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F91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F30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2809E">
            <w:pPr>
              <w:jc w:val="center"/>
            </w:pPr>
          </w:p>
        </w:tc>
      </w:tr>
      <w:tr w14:paraId="6FA0AE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536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686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D7E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0B427">
            <w:pPr>
              <w:jc w:val="center"/>
            </w:pPr>
            <w:r>
              <w:rPr>
                <w:rFonts w:ascii="宋体" w:hAnsi="宋体" w:eastAsia="宋体"/>
                <w:sz w:val="16"/>
              </w:rPr>
              <w:t>本级财政人均缴费金额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1F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96528">
            <w:pPr>
              <w:jc w:val="center"/>
            </w:pPr>
            <w:r>
              <w:rPr>
                <w:rFonts w:ascii="宋体" w:hAnsi="宋体" w:eastAsia="宋体"/>
                <w:sz w:val="16"/>
              </w:rPr>
              <w:t>&lt;=2.74元/人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F0E7D">
            <w:pPr>
              <w:jc w:val="center"/>
            </w:pPr>
            <w:r>
              <w:rPr>
                <w:rFonts w:ascii="宋体" w:hAnsi="宋体" w:eastAsia="宋体"/>
                <w:sz w:val="16"/>
              </w:rPr>
              <w:t>2.74元/人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88C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76A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73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EF863">
            <w:pPr>
              <w:jc w:val="center"/>
            </w:pPr>
            <w:r>
              <w:rPr>
                <w:rFonts w:ascii="宋体" w:hAnsi="宋体" w:eastAsia="宋体"/>
                <w:sz w:val="16"/>
              </w:rPr>
              <w:t>6.18元/人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502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5511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AFC4">
            <w:pPr>
              <w:jc w:val="center"/>
            </w:pPr>
          </w:p>
        </w:tc>
      </w:tr>
      <w:tr w14:paraId="3C4FC2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D34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5007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FF13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E5B5">
            <w:pPr>
              <w:jc w:val="center"/>
            </w:pPr>
            <w:r>
              <w:rPr>
                <w:rFonts w:ascii="宋体" w:hAnsi="宋体" w:eastAsia="宋体"/>
                <w:sz w:val="16"/>
              </w:rPr>
              <w:t>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CF4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CFF0">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28FBD">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0ED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97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0B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4C1AD">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2F9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C0D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ABC7D">
            <w:pPr>
              <w:jc w:val="center"/>
            </w:pPr>
          </w:p>
        </w:tc>
      </w:tr>
      <w:tr w14:paraId="39E2B9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A4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921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8E2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0E79D">
            <w:pPr>
              <w:jc w:val="center"/>
            </w:pPr>
            <w:r>
              <w:rPr>
                <w:rFonts w:ascii="宋体" w:hAnsi="宋体" w:eastAsia="宋体"/>
                <w:sz w:val="16"/>
              </w:rPr>
              <w:t>对健全医疗保障制度体系的作用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0F5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6391">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E2040">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45E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8CA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39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26C80">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9DB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30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CCDE">
            <w:pPr>
              <w:jc w:val="center"/>
            </w:pPr>
          </w:p>
        </w:tc>
      </w:tr>
      <w:tr w14:paraId="556DA1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9DA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60F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070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70718">
            <w:pPr>
              <w:jc w:val="center"/>
            </w:pPr>
            <w:r>
              <w:rPr>
                <w:rFonts w:ascii="宋体" w:hAnsi="宋体" w:eastAsia="宋体"/>
                <w:sz w:val="16"/>
              </w:rPr>
              <w:t>保障对象的满意度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A3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53A3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FFA1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CE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049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52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B132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D39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CEE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99E65">
            <w:pPr>
              <w:jc w:val="center"/>
            </w:pPr>
          </w:p>
        </w:tc>
      </w:tr>
      <w:tr w14:paraId="572B447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CD50C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56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EB31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E0E4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0B45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E245">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3A83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D4E4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376C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5C71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5462B4"/>
        </w:tc>
      </w:tr>
    </w:tbl>
    <w:p w14:paraId="15BECAB1">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20"/>
        <w:gridCol w:w="856"/>
        <w:gridCol w:w="776"/>
        <w:gridCol w:w="520"/>
        <w:gridCol w:w="106"/>
        <w:gridCol w:w="620"/>
        <w:gridCol w:w="615"/>
        <w:gridCol w:w="615"/>
        <w:gridCol w:w="616"/>
        <w:gridCol w:w="615"/>
        <w:gridCol w:w="631"/>
      </w:tblGrid>
      <w:tr w14:paraId="0574CCE1">
        <w:tblPrEx>
          <w:tblCellMar>
            <w:top w:w="0" w:type="dxa"/>
            <w:left w:w="108" w:type="dxa"/>
            <w:bottom w:w="0" w:type="dxa"/>
            <w:right w:w="108" w:type="dxa"/>
          </w:tblCellMar>
        </w:tblPrEx>
        <w:tc>
          <w:tcPr>
            <w:tcW w:w="9060" w:type="dxa"/>
            <w:gridSpan w:val="15"/>
            <w:vAlign w:val="center"/>
          </w:tcPr>
          <w:p w14:paraId="1BDB6F4C">
            <w:pPr>
              <w:jc w:val="center"/>
            </w:pPr>
            <w:r>
              <w:rPr>
                <w:rFonts w:ascii="宋体" w:hAnsi="宋体" w:eastAsia="宋体"/>
                <w:sz w:val="24"/>
              </w:rPr>
              <w:t>项目支出绩效自评表</w:t>
            </w:r>
          </w:p>
        </w:tc>
      </w:tr>
      <w:tr w14:paraId="0BE21BD4">
        <w:tblPrEx>
          <w:tblCellMar>
            <w:top w:w="0" w:type="dxa"/>
            <w:left w:w="108" w:type="dxa"/>
            <w:bottom w:w="0" w:type="dxa"/>
            <w:right w:w="108" w:type="dxa"/>
          </w:tblCellMar>
        </w:tblPrEx>
        <w:tc>
          <w:tcPr>
            <w:tcW w:w="9060" w:type="dxa"/>
            <w:gridSpan w:val="15"/>
            <w:vAlign w:val="center"/>
          </w:tcPr>
          <w:p w14:paraId="3E5EE462">
            <w:pPr>
              <w:jc w:val="center"/>
            </w:pPr>
            <w:r>
              <w:rPr>
                <w:rFonts w:ascii="宋体" w:hAnsi="宋体" w:eastAsia="宋体"/>
                <w:sz w:val="24"/>
              </w:rPr>
              <w:t>(2024年度)</w:t>
            </w:r>
          </w:p>
        </w:tc>
      </w:tr>
      <w:tr w14:paraId="2784071F">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6F632F5">
            <w:pPr>
              <w:jc w:val="center"/>
            </w:pPr>
            <w:r>
              <w:rPr>
                <w:rFonts w:ascii="宋体" w:hAnsi="宋体" w:eastAsia="宋体"/>
                <w:sz w:val="16"/>
              </w:rPr>
              <w:t>项目名称</w:t>
            </w:r>
          </w:p>
        </w:tc>
        <w:tc>
          <w:tcPr>
            <w:tcW w:w="8435"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1F89314C">
            <w:pPr>
              <w:jc w:val="center"/>
            </w:pPr>
            <w:r>
              <w:rPr>
                <w:rFonts w:ascii="宋体" w:hAnsi="宋体" w:eastAsia="宋体"/>
                <w:sz w:val="16"/>
              </w:rPr>
              <w:t>2024年自治区财政人身意外伤害保险</w:t>
            </w:r>
          </w:p>
        </w:tc>
      </w:tr>
      <w:tr w14:paraId="4EC3212B">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845A125">
            <w:pPr>
              <w:jc w:val="center"/>
            </w:pPr>
            <w:r>
              <w:rPr>
                <w:rFonts w:ascii="宋体" w:hAnsi="宋体" w:eastAsia="宋体"/>
                <w:sz w:val="16"/>
              </w:rPr>
              <w:t>主管部门</w:t>
            </w:r>
          </w:p>
        </w:tc>
        <w:tc>
          <w:tcPr>
            <w:tcW w:w="4723"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28EDD3D">
            <w:pPr>
              <w:jc w:val="center"/>
            </w:pPr>
            <w:r>
              <w:rPr>
                <w:rFonts w:ascii="宋体" w:hAnsi="宋体" w:eastAsia="宋体"/>
                <w:sz w:val="16"/>
              </w:rPr>
              <w:t>特克斯县医疗保障局</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5CBD956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09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27E686">
            <w:pPr>
              <w:jc w:val="center"/>
            </w:pPr>
            <w:r>
              <w:rPr>
                <w:rFonts w:ascii="宋体" w:hAnsi="宋体" w:eastAsia="宋体"/>
                <w:sz w:val="16"/>
              </w:rPr>
              <w:t>特克斯县医疗保障局</w:t>
            </w:r>
          </w:p>
        </w:tc>
      </w:tr>
      <w:tr w14:paraId="5FC3F4E1">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49F805">
            <w:pPr>
              <w:jc w:val="center"/>
            </w:pPr>
            <w:r>
              <w:rPr>
                <w:rFonts w:ascii="宋体" w:hAnsi="宋体" w:eastAsia="宋体"/>
                <w:sz w:val="16"/>
              </w:rPr>
              <w:t>项目资金（万元）</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A7B7B">
            <w:pPr>
              <w:jc w:val="center"/>
            </w:pP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4DBEA">
            <w:pPr>
              <w:jc w:val="center"/>
            </w:pPr>
            <w:r>
              <w:rPr>
                <w:rFonts w:ascii="宋体" w:hAnsi="宋体" w:eastAsia="宋体"/>
                <w:sz w:val="16"/>
              </w:rPr>
              <w:t>年初预算数</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FC9F8">
            <w:pPr>
              <w:jc w:val="center"/>
            </w:pPr>
            <w:r>
              <w:rPr>
                <w:rFonts w:ascii="宋体" w:hAnsi="宋体" w:eastAsia="宋体"/>
                <w:sz w:val="16"/>
              </w:rPr>
              <w:t>全年预算数</w:t>
            </w:r>
          </w:p>
        </w:tc>
        <w:tc>
          <w:tcPr>
            <w:tcW w:w="124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2AA274">
            <w:pPr>
              <w:jc w:val="center"/>
            </w:pPr>
            <w:r>
              <w:rPr>
                <w:rFonts w:ascii="宋体" w:hAnsi="宋体" w:eastAsia="宋体"/>
                <w:sz w:val="16"/>
              </w:rPr>
              <w:t>全年执行数</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44781">
            <w:pPr>
              <w:jc w:val="center"/>
            </w:pPr>
            <w:r>
              <w:rPr>
                <w:rFonts w:ascii="宋体" w:hAnsi="宋体" w:eastAsia="宋体"/>
                <w:sz w:val="16"/>
              </w:rPr>
              <w:t>分值</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C0804">
            <w:pPr>
              <w:jc w:val="center"/>
            </w:pPr>
            <w:r>
              <w:rPr>
                <w:rFonts w:ascii="宋体" w:hAnsi="宋体" w:eastAsia="宋体"/>
                <w:sz w:val="16"/>
              </w:rPr>
              <w:t>执行率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26671AC">
            <w:pPr>
              <w:jc w:val="center"/>
            </w:pPr>
            <w:r>
              <w:rPr>
                <w:rFonts w:ascii="宋体" w:hAnsi="宋体" w:eastAsia="宋体"/>
                <w:sz w:val="16"/>
              </w:rPr>
              <w:t>得分</w:t>
            </w:r>
          </w:p>
        </w:tc>
      </w:tr>
      <w:tr w14:paraId="5A27C6A9">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7D1E68B"/>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97121">
            <w:pPr>
              <w:jc w:val="center"/>
            </w:pPr>
            <w:r>
              <w:rPr>
                <w:rFonts w:ascii="宋体" w:hAnsi="宋体" w:eastAsia="宋体"/>
                <w:sz w:val="16"/>
              </w:rPr>
              <w:t>年度资金总额</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05D16">
            <w:pPr>
              <w:jc w:val="center"/>
            </w:pPr>
            <w:r>
              <w:rPr>
                <w:rFonts w:ascii="宋体" w:hAnsi="宋体" w:eastAsia="宋体"/>
                <w:sz w:val="16"/>
              </w:rPr>
              <w:t>101.26</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E3322">
            <w:pPr>
              <w:jc w:val="center"/>
            </w:pPr>
            <w:r>
              <w:rPr>
                <w:rFonts w:ascii="宋体" w:hAnsi="宋体" w:eastAsia="宋体"/>
                <w:sz w:val="16"/>
              </w:rPr>
              <w:t>101.26</w:t>
            </w:r>
          </w:p>
        </w:tc>
        <w:tc>
          <w:tcPr>
            <w:tcW w:w="124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6B5EF4">
            <w:pPr>
              <w:jc w:val="center"/>
            </w:pPr>
            <w:r>
              <w:rPr>
                <w:rFonts w:ascii="宋体" w:hAnsi="宋体" w:eastAsia="宋体"/>
                <w:sz w:val="16"/>
              </w:rPr>
              <w:t>101.26</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08CA8">
            <w:pPr>
              <w:jc w:val="center"/>
            </w:pPr>
            <w:r>
              <w:rPr>
                <w:rFonts w:ascii="宋体" w:hAnsi="宋体" w:eastAsia="宋体"/>
                <w:sz w:val="16"/>
              </w:rPr>
              <w:t>10</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B02F4">
            <w:pPr>
              <w:jc w:val="center"/>
            </w:pPr>
            <w:r>
              <w:rPr>
                <w:rFonts w:ascii="宋体" w:hAnsi="宋体" w:eastAsia="宋体"/>
                <w:sz w:val="16"/>
              </w:rPr>
              <w:t>100.00%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30578C2">
            <w:pPr>
              <w:jc w:val="center"/>
            </w:pPr>
            <w:r>
              <w:rPr>
                <w:rFonts w:ascii="宋体" w:hAnsi="宋体" w:eastAsia="宋体"/>
                <w:sz w:val="16"/>
              </w:rPr>
              <w:t>10.00</w:t>
            </w:r>
          </w:p>
        </w:tc>
      </w:tr>
      <w:tr w14:paraId="2ED84378">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D7DFB15"/>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07026">
            <w:pPr>
              <w:jc w:val="center"/>
            </w:pPr>
            <w:r>
              <w:rPr>
                <w:rFonts w:ascii="宋体" w:hAnsi="宋体" w:eastAsia="宋体"/>
                <w:sz w:val="16"/>
              </w:rPr>
              <w:t>其中：当年财政拨款</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8B122">
            <w:pPr>
              <w:jc w:val="center"/>
            </w:pPr>
            <w:r>
              <w:rPr>
                <w:rFonts w:ascii="宋体" w:hAnsi="宋体" w:eastAsia="宋体"/>
                <w:sz w:val="16"/>
              </w:rPr>
              <w:t>101.26</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15C70">
            <w:pPr>
              <w:jc w:val="center"/>
            </w:pPr>
            <w:r>
              <w:rPr>
                <w:rFonts w:ascii="宋体" w:hAnsi="宋体" w:eastAsia="宋体"/>
                <w:sz w:val="16"/>
              </w:rPr>
              <w:t>101.26</w:t>
            </w:r>
          </w:p>
        </w:tc>
        <w:tc>
          <w:tcPr>
            <w:tcW w:w="124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D9B5AD">
            <w:pPr>
              <w:jc w:val="center"/>
            </w:pPr>
            <w:r>
              <w:rPr>
                <w:rFonts w:ascii="宋体" w:hAnsi="宋体" w:eastAsia="宋体"/>
                <w:sz w:val="16"/>
              </w:rPr>
              <w:t>101.26</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9CC13">
            <w:pPr>
              <w:jc w:val="center"/>
            </w:pPr>
            <w:r>
              <w:rPr>
                <w:rFonts w:ascii="宋体" w:hAnsi="宋体" w:eastAsia="宋体"/>
                <w:sz w:val="16"/>
              </w:rPr>
              <w:t>—</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A42CA">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260D614">
            <w:pPr>
              <w:jc w:val="center"/>
            </w:pPr>
            <w:r>
              <w:rPr>
                <w:rFonts w:ascii="宋体" w:hAnsi="宋体" w:eastAsia="宋体"/>
                <w:sz w:val="16"/>
              </w:rPr>
              <w:t>—</w:t>
            </w:r>
          </w:p>
        </w:tc>
      </w:tr>
      <w:tr w14:paraId="62C513A0">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95E32CE"/>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A515D">
            <w:pPr>
              <w:jc w:val="center"/>
            </w:pPr>
            <w:r>
              <w:rPr>
                <w:rFonts w:ascii="宋体" w:hAnsi="宋体" w:eastAsia="宋体"/>
                <w:sz w:val="16"/>
              </w:rPr>
              <w:t xml:space="preserve">  其他资金</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2F8BE">
            <w:pPr>
              <w:jc w:val="center"/>
            </w:pPr>
            <w:r>
              <w:rPr>
                <w:rFonts w:ascii="宋体" w:hAnsi="宋体" w:eastAsia="宋体"/>
                <w:sz w:val="16"/>
              </w:rPr>
              <w:t>0.00</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CC41F">
            <w:pPr>
              <w:jc w:val="center"/>
            </w:pPr>
            <w:r>
              <w:rPr>
                <w:rFonts w:ascii="宋体" w:hAnsi="宋体" w:eastAsia="宋体"/>
                <w:sz w:val="16"/>
              </w:rPr>
              <w:t>0.00</w:t>
            </w:r>
          </w:p>
        </w:tc>
        <w:tc>
          <w:tcPr>
            <w:tcW w:w="124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1F3888">
            <w:pPr>
              <w:jc w:val="center"/>
            </w:pPr>
            <w:r>
              <w:rPr>
                <w:rFonts w:ascii="宋体" w:hAnsi="宋体" w:eastAsia="宋体"/>
                <w:sz w:val="16"/>
              </w:rPr>
              <w:t>0.00</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FBE30">
            <w:pPr>
              <w:jc w:val="center"/>
            </w:pPr>
            <w:r>
              <w:rPr>
                <w:rFonts w:ascii="宋体" w:hAnsi="宋体" w:eastAsia="宋体"/>
                <w:sz w:val="16"/>
              </w:rPr>
              <w:t>—</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A3F5D">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96D6212">
            <w:pPr>
              <w:jc w:val="center"/>
            </w:pPr>
            <w:r>
              <w:rPr>
                <w:rFonts w:ascii="宋体" w:hAnsi="宋体" w:eastAsia="宋体"/>
                <w:sz w:val="16"/>
              </w:rPr>
              <w:t>—</w:t>
            </w:r>
          </w:p>
        </w:tc>
      </w:tr>
      <w:tr w14:paraId="6B4809E2">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03085">
            <w:pPr>
              <w:jc w:val="center"/>
            </w:pPr>
            <w:r>
              <w:rPr>
                <w:rFonts w:ascii="宋体" w:hAnsi="宋体" w:eastAsia="宋体"/>
                <w:sz w:val="16"/>
              </w:rPr>
              <w:t>年度总体目标</w:t>
            </w:r>
          </w:p>
        </w:tc>
        <w:tc>
          <w:tcPr>
            <w:tcW w:w="461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3E99CF">
            <w:pPr>
              <w:jc w:val="center"/>
            </w:pPr>
            <w:r>
              <w:rPr>
                <w:rFonts w:ascii="宋体" w:hAnsi="宋体" w:eastAsia="宋体"/>
                <w:sz w:val="16"/>
              </w:rPr>
              <w:t>预期目标</w:t>
            </w:r>
          </w:p>
        </w:tc>
        <w:tc>
          <w:tcPr>
            <w:tcW w:w="381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89D6C5">
            <w:pPr>
              <w:jc w:val="center"/>
            </w:pPr>
            <w:r>
              <w:rPr>
                <w:rFonts w:ascii="宋体" w:hAnsi="宋体" w:eastAsia="宋体"/>
                <w:sz w:val="16"/>
              </w:rPr>
              <w:t>实际完成情况</w:t>
            </w:r>
          </w:p>
        </w:tc>
      </w:tr>
      <w:tr w14:paraId="0A40AD1C">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2041A3A"/>
        </w:tc>
        <w:tc>
          <w:tcPr>
            <w:tcW w:w="461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CD362B">
            <w:pPr>
              <w:jc w:val="both"/>
            </w:pPr>
            <w:r>
              <w:rPr>
                <w:rFonts w:ascii="宋体" w:hAnsi="宋体" w:eastAsia="宋体"/>
                <w:sz w:val="16"/>
              </w:rPr>
              <w:t>根据《关于建立和实施人身意外伤害保险的通知》（新人社发</w:t>
            </w:r>
            <w:r>
              <w:rPr>
                <w:rFonts w:hint="eastAsia" w:ascii="宋体" w:hAnsi="宋体"/>
                <w:sz w:val="16"/>
                <w:lang w:eastAsia="zh-CN"/>
              </w:rPr>
              <w:t>〔</w:t>
            </w:r>
            <w:r>
              <w:rPr>
                <w:rFonts w:ascii="宋体" w:hAnsi="宋体" w:eastAsia="宋体"/>
                <w:sz w:val="16"/>
              </w:rPr>
              <w:t>2022</w:t>
            </w:r>
            <w:r>
              <w:rPr>
                <w:rFonts w:hint="eastAsia" w:ascii="宋体" w:hAnsi="宋体"/>
                <w:sz w:val="16"/>
                <w:lang w:eastAsia="zh-CN"/>
              </w:rPr>
              <w:t>〕</w:t>
            </w:r>
            <w:r>
              <w:rPr>
                <w:rFonts w:ascii="宋体" w:hAnsi="宋体" w:eastAsia="宋体"/>
                <w:sz w:val="16"/>
              </w:rPr>
              <w:t>117号）为推进社保惠民，扩大全区各族群众医疗救助范围，实施自治区人身意外伤害保险普惠政策，对新疆户籍的居民，参加职工医疗和城乡居民医疗或兵团社保的非新疆居民及援疆工作人员予以参保，保险费由各级财政安排，个人不缴费，保障人身意外伤害对象减轻经济负担，社会满意度得到提升。</w:t>
            </w:r>
          </w:p>
        </w:tc>
        <w:tc>
          <w:tcPr>
            <w:tcW w:w="381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5D3F2F">
            <w:pPr>
              <w:jc w:val="both"/>
            </w:pPr>
            <w:r>
              <w:rPr>
                <w:rFonts w:ascii="宋体" w:hAnsi="宋体" w:eastAsia="宋体"/>
                <w:sz w:val="16"/>
              </w:rPr>
              <w:t>为推进社保惠民，扩大全区各族群众医疗救助范围，实施自治区人身意外伤害保险普惠政策，对新疆户籍的居民，参加职工医疗和城乡居民医疗或兵团社保的非新疆户籍居民及援疆工作人员予以参保，保险费由各级财政安排，个人不缴费</w:t>
            </w:r>
            <w:r>
              <w:rPr>
                <w:rFonts w:hint="eastAsia" w:ascii="宋体" w:hAnsi="宋体"/>
                <w:sz w:val="16"/>
                <w:lang w:eastAsia="zh-CN"/>
              </w:rPr>
              <w:t>，为</w:t>
            </w:r>
            <w:r>
              <w:rPr>
                <w:rFonts w:ascii="宋体" w:hAnsi="宋体" w:eastAsia="宋体"/>
                <w:sz w:val="16"/>
              </w:rPr>
              <w:t>保障人身意外保险对象经济负担减轻，社会满意度得到提升。</w:t>
            </w:r>
          </w:p>
        </w:tc>
      </w:tr>
      <w:tr w14:paraId="48F39DE5">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14:paraId="191CC2EE"/>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AD76BC0">
            <w:pPr>
              <w:jc w:val="center"/>
            </w:pPr>
            <w:r>
              <w:rPr>
                <w:rFonts w:ascii="宋体" w:hAnsi="宋体" w:eastAsia="宋体"/>
                <w:sz w:val="16"/>
              </w:rPr>
              <w:t>一级指标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417D254">
            <w:pPr>
              <w:jc w:val="center"/>
            </w:pPr>
            <w:r>
              <w:rPr>
                <w:rFonts w:ascii="宋体" w:hAnsi="宋体" w:eastAsia="宋体"/>
                <w:sz w:val="16"/>
              </w:rPr>
              <w:t>二级指标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65C2510">
            <w:pPr>
              <w:jc w:val="center"/>
            </w:pPr>
            <w:r>
              <w:rPr>
                <w:rFonts w:ascii="宋体" w:hAnsi="宋体" w:eastAsia="宋体"/>
                <w:sz w:val="16"/>
              </w:rPr>
              <w:t>三级指标</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330FA1FA">
            <w:pPr>
              <w:jc w:val="center"/>
            </w:pPr>
            <w:r>
              <w:rPr>
                <w:rFonts w:ascii="宋体" w:hAnsi="宋体" w:eastAsia="宋体"/>
                <w:sz w:val="16"/>
              </w:rPr>
              <w:t>权重</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1FE6C21">
            <w:pPr>
              <w:jc w:val="center"/>
            </w:pPr>
            <w:r>
              <w:rPr>
                <w:rFonts w:ascii="宋体" w:hAnsi="宋体" w:eastAsia="宋体"/>
                <w:sz w:val="16"/>
              </w:rPr>
              <w:t>目标值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F339325">
            <w:pPr>
              <w:jc w:val="center"/>
            </w:pPr>
            <w:r>
              <w:rPr>
                <w:rFonts w:ascii="宋体" w:hAnsi="宋体" w:eastAsia="宋体"/>
                <w:sz w:val="16"/>
              </w:rPr>
              <w:t>业绩值</w:t>
            </w:r>
          </w:p>
        </w:tc>
        <w:tc>
          <w:tcPr>
            <w:tcW w:w="6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081D8">
            <w:pPr>
              <w:jc w:val="center"/>
            </w:pPr>
            <w:r>
              <w:rPr>
                <w:rFonts w:ascii="宋体" w:hAnsi="宋体" w:eastAsia="宋体"/>
                <w:sz w:val="16"/>
              </w:rPr>
              <w:t>完成率</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7A20445B">
            <w:pPr>
              <w:jc w:val="center"/>
            </w:pPr>
            <w:r>
              <w:rPr>
                <w:rFonts w:ascii="宋体" w:hAnsi="宋体" w:eastAsia="宋体"/>
                <w:sz w:val="16"/>
              </w:rPr>
              <w:t>指标得分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9FCB91A">
            <w:pPr>
              <w:jc w:val="center"/>
            </w:pPr>
            <w:r>
              <w:rPr>
                <w:rFonts w:ascii="宋体" w:hAnsi="宋体" w:eastAsia="宋体"/>
                <w:sz w:val="16"/>
              </w:rPr>
              <w:t>指标值设定依据</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71F3618">
            <w:pPr>
              <w:jc w:val="center"/>
            </w:pPr>
            <w:r>
              <w:rPr>
                <w:rFonts w:ascii="宋体" w:hAnsi="宋体" w:eastAsia="宋体"/>
                <w:sz w:val="16"/>
              </w:rPr>
              <w:t>上年完成情况</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6BCBC70">
            <w:pPr>
              <w:jc w:val="center"/>
            </w:pPr>
            <w:r>
              <w:rPr>
                <w:rFonts w:ascii="宋体" w:hAnsi="宋体" w:eastAsia="宋体"/>
                <w:sz w:val="16"/>
              </w:rPr>
              <w:t>赋分规则</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97A386D">
            <w:pPr>
              <w:jc w:val="center"/>
            </w:pPr>
            <w:r>
              <w:rPr>
                <w:rFonts w:ascii="宋体" w:hAnsi="宋体" w:eastAsia="宋体"/>
                <w:sz w:val="16"/>
              </w:rPr>
              <w:t>佐证资料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E06389A">
            <w:pPr>
              <w:jc w:val="center"/>
            </w:pPr>
            <w:r>
              <w:rPr>
                <w:rFonts w:ascii="宋体" w:hAnsi="宋体" w:eastAsia="宋体"/>
                <w:sz w:val="16"/>
              </w:rPr>
              <w:t>偏差原因分析及改进措施</w:t>
            </w:r>
          </w:p>
        </w:tc>
      </w:tr>
      <w:tr w14:paraId="58B58EC1">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0AB91">
            <w:pPr>
              <w:jc w:val="center"/>
            </w:pPr>
            <w:r>
              <w:rPr>
                <w:rFonts w:ascii="宋体" w:hAnsi="宋体" w:eastAsia="宋体"/>
                <w:sz w:val="16"/>
              </w:rPr>
              <w:t>年度绩效指标完成情况</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1A903B">
            <w:pPr>
              <w:jc w:val="center"/>
            </w:pPr>
            <w:r>
              <w:rPr>
                <w:rFonts w:ascii="宋体" w:hAnsi="宋体" w:eastAsia="宋体"/>
                <w:sz w:val="16"/>
              </w:rPr>
              <w:t>产出指标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ADCFBD9">
            <w:pPr>
              <w:jc w:val="center"/>
            </w:pPr>
            <w:r>
              <w:rPr>
                <w:rFonts w:ascii="宋体" w:hAnsi="宋体" w:eastAsia="宋体"/>
                <w:sz w:val="16"/>
              </w:rPr>
              <w:t>数量指标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0B3A312">
            <w:pPr>
              <w:jc w:val="center"/>
            </w:pPr>
            <w:r>
              <w:rPr>
                <w:rFonts w:ascii="宋体" w:hAnsi="宋体" w:eastAsia="宋体"/>
                <w:sz w:val="16"/>
              </w:rPr>
              <w:t>人身意外伤害保险保障人数</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10F7CB81">
            <w:pPr>
              <w:jc w:val="center"/>
            </w:pPr>
            <w:r>
              <w:rPr>
                <w:rFonts w:ascii="宋体" w:hAnsi="宋体" w:eastAsia="宋体"/>
                <w:sz w:val="16"/>
              </w:rPr>
              <w:t>10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6044BB6">
            <w:pPr>
              <w:jc w:val="center"/>
            </w:pPr>
            <w:r>
              <w:rPr>
                <w:rFonts w:ascii="宋体" w:hAnsi="宋体" w:eastAsia="宋体"/>
                <w:sz w:val="16"/>
              </w:rPr>
              <w:t>=14.2711万人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64028BF">
            <w:pPr>
              <w:jc w:val="center"/>
            </w:pPr>
            <w:r>
              <w:rPr>
                <w:rFonts w:ascii="宋体" w:hAnsi="宋体" w:eastAsia="宋体"/>
                <w:sz w:val="16"/>
              </w:rPr>
              <w:t>14.2711万人</w:t>
            </w:r>
          </w:p>
        </w:tc>
        <w:tc>
          <w:tcPr>
            <w:tcW w:w="6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D79E0">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29717B1E">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D3C3488">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1D1A2D0">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9FFA9C8">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9B0E104">
            <w:pPr>
              <w:jc w:val="center"/>
            </w:pPr>
            <w:r>
              <w:rPr>
                <w:rFonts w:ascii="宋体" w:hAnsi="宋体" w:eastAsia="宋体"/>
                <w:sz w:val="16"/>
              </w:rPr>
              <w:t>正式材料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1F827F0">
            <w:pPr>
              <w:jc w:val="center"/>
            </w:pPr>
          </w:p>
        </w:tc>
      </w:tr>
      <w:tr w14:paraId="423B34B6">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AF7DD3F"/>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06DDEB96"/>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C59A08">
            <w:pPr>
              <w:jc w:val="center"/>
            </w:pPr>
            <w:r>
              <w:rPr>
                <w:rFonts w:ascii="宋体" w:hAnsi="宋体" w:eastAsia="宋体"/>
                <w:sz w:val="16"/>
              </w:rPr>
              <w:t>质量指标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AE7D099">
            <w:pPr>
              <w:jc w:val="center"/>
            </w:pPr>
            <w:r>
              <w:rPr>
                <w:rFonts w:ascii="宋体" w:hAnsi="宋体" w:eastAsia="宋体"/>
                <w:sz w:val="16"/>
              </w:rPr>
              <w:t>政策范围内赔付比例</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1136A913">
            <w:pPr>
              <w:jc w:val="center"/>
            </w:pPr>
            <w:r>
              <w:rPr>
                <w:rFonts w:ascii="宋体" w:hAnsi="宋体" w:eastAsia="宋体"/>
                <w:sz w:val="16"/>
              </w:rPr>
              <w:t>10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23F7AE3">
            <w:pPr>
              <w:jc w:val="center"/>
            </w:pPr>
            <w:r>
              <w:rPr>
                <w:rFonts w:ascii="宋体" w:hAnsi="宋体" w:eastAsia="宋体"/>
                <w:sz w:val="16"/>
              </w:rPr>
              <w:t>=50%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8EB5933">
            <w:pPr>
              <w:jc w:val="center"/>
            </w:pPr>
            <w:r>
              <w:rPr>
                <w:rFonts w:ascii="宋体" w:hAnsi="宋体" w:eastAsia="宋体"/>
                <w:sz w:val="16"/>
              </w:rPr>
              <w:t>50%</w:t>
            </w:r>
          </w:p>
        </w:tc>
        <w:tc>
          <w:tcPr>
            <w:tcW w:w="6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DEB22">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1129C6E6">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D435EBF">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E4A4EE3">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D051C79">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41CB585">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9BBC997">
            <w:pPr>
              <w:jc w:val="center"/>
            </w:pPr>
          </w:p>
        </w:tc>
      </w:tr>
      <w:tr w14:paraId="4F04FBA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FC3D641"/>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7B0A1957"/>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19DE57B"/>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09F583C">
            <w:pPr>
              <w:jc w:val="center"/>
            </w:pPr>
            <w:r>
              <w:rPr>
                <w:rFonts w:ascii="宋体" w:hAnsi="宋体" w:eastAsia="宋体"/>
                <w:sz w:val="16"/>
              </w:rPr>
              <w:t>人身意外伤害案件赔付率</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1DDAB539">
            <w:pPr>
              <w:jc w:val="center"/>
            </w:pPr>
            <w:r>
              <w:rPr>
                <w:rFonts w:ascii="宋体" w:hAnsi="宋体" w:eastAsia="宋体"/>
                <w:sz w:val="16"/>
              </w:rPr>
              <w:t>10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3FC1A4D">
            <w:pPr>
              <w:jc w:val="center"/>
            </w:pPr>
            <w:r>
              <w:rPr>
                <w:rFonts w:ascii="宋体" w:hAnsi="宋体" w:eastAsia="宋体"/>
                <w:sz w:val="16"/>
              </w:rPr>
              <w:t>&gt;=90%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0DA61FC">
            <w:pPr>
              <w:jc w:val="center"/>
            </w:pPr>
            <w:r>
              <w:rPr>
                <w:rFonts w:ascii="宋体" w:hAnsi="宋体" w:eastAsia="宋体"/>
                <w:sz w:val="16"/>
              </w:rPr>
              <w:t>90%</w:t>
            </w:r>
          </w:p>
        </w:tc>
        <w:tc>
          <w:tcPr>
            <w:tcW w:w="6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16904">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513709B5">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ADC5E8F">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ADB63C5">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E66F1B0">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C1A5832">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CE9C2A6">
            <w:pPr>
              <w:jc w:val="center"/>
            </w:pPr>
          </w:p>
        </w:tc>
      </w:tr>
      <w:tr w14:paraId="639BCF87">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F2DC0D9"/>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6CF0BB3C"/>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8317E91">
            <w:pPr>
              <w:jc w:val="center"/>
            </w:pPr>
            <w:r>
              <w:rPr>
                <w:rFonts w:ascii="宋体" w:hAnsi="宋体" w:eastAsia="宋体"/>
                <w:sz w:val="16"/>
              </w:rPr>
              <w:t>时效指标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1C91F43">
            <w:pPr>
              <w:jc w:val="center"/>
            </w:pPr>
            <w:r>
              <w:rPr>
                <w:rFonts w:ascii="宋体" w:hAnsi="宋体" w:eastAsia="宋体"/>
                <w:sz w:val="16"/>
              </w:rPr>
              <w:t>各级财政补助资金到位率</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0605776B">
            <w:pPr>
              <w:jc w:val="center"/>
            </w:pPr>
            <w:r>
              <w:rPr>
                <w:rFonts w:ascii="宋体" w:hAnsi="宋体" w:eastAsia="宋体"/>
                <w:sz w:val="16"/>
              </w:rPr>
              <w:t>10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6665842">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DA522E7">
            <w:pPr>
              <w:jc w:val="center"/>
            </w:pPr>
            <w:r>
              <w:rPr>
                <w:rFonts w:ascii="宋体" w:hAnsi="宋体" w:eastAsia="宋体"/>
                <w:sz w:val="16"/>
              </w:rPr>
              <w:t>100%</w:t>
            </w:r>
          </w:p>
        </w:tc>
        <w:tc>
          <w:tcPr>
            <w:tcW w:w="6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FC844">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66536481">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B381D92">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03AB97B">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89C78E8">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A54BFF9">
            <w:pPr>
              <w:jc w:val="center"/>
            </w:pPr>
            <w:r>
              <w:rPr>
                <w:rFonts w:ascii="宋体" w:hAnsi="宋体" w:eastAsia="宋体"/>
                <w:sz w:val="16"/>
              </w:rPr>
              <w:t>正式材料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803DF2D">
            <w:pPr>
              <w:jc w:val="center"/>
            </w:pPr>
          </w:p>
        </w:tc>
      </w:tr>
      <w:tr w14:paraId="5BE6D20D">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3D12BC6"/>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1E11C">
            <w:pPr>
              <w:jc w:val="center"/>
            </w:pPr>
            <w:r>
              <w:rPr>
                <w:rFonts w:ascii="宋体" w:hAnsi="宋体" w:eastAsia="宋体"/>
                <w:sz w:val="16"/>
              </w:rPr>
              <w:t>成本指标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CFED1">
            <w:pPr>
              <w:jc w:val="center"/>
            </w:pPr>
            <w:r>
              <w:rPr>
                <w:rFonts w:ascii="宋体" w:hAnsi="宋体" w:eastAsia="宋体"/>
                <w:sz w:val="16"/>
              </w:rPr>
              <w:t>经济成本指标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0920A07">
            <w:pPr>
              <w:jc w:val="center"/>
            </w:pPr>
            <w:r>
              <w:rPr>
                <w:rFonts w:hint="eastAsia" w:ascii="宋体" w:hAnsi="宋体"/>
                <w:sz w:val="16"/>
                <w:lang w:eastAsia="zh-CN"/>
              </w:rPr>
              <w:t>人均财政补助标准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7B2F771E">
            <w:pPr>
              <w:jc w:val="center"/>
            </w:pPr>
            <w:r>
              <w:rPr>
                <w:rFonts w:ascii="宋体" w:hAnsi="宋体" w:eastAsia="宋体"/>
                <w:sz w:val="16"/>
              </w:rPr>
              <w:t>10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28C6596">
            <w:pPr>
              <w:jc w:val="center"/>
            </w:pPr>
            <w:r>
              <w:rPr>
                <w:rFonts w:ascii="宋体" w:hAnsi="宋体" w:eastAsia="宋体"/>
                <w:sz w:val="16"/>
              </w:rPr>
              <w:t>=10元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7A3D801">
            <w:pPr>
              <w:jc w:val="center"/>
            </w:pPr>
            <w:r>
              <w:rPr>
                <w:rFonts w:ascii="宋体" w:hAnsi="宋体" w:eastAsia="宋体"/>
                <w:sz w:val="16"/>
              </w:rPr>
              <w:t>10元</w:t>
            </w:r>
          </w:p>
        </w:tc>
        <w:tc>
          <w:tcPr>
            <w:tcW w:w="6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85234">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67FF4B5F">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E6175F1">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7E1171C">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E265D6D">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6542FFA">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60A85B6">
            <w:pPr>
              <w:jc w:val="center"/>
            </w:pPr>
          </w:p>
        </w:tc>
      </w:tr>
      <w:tr w14:paraId="4B277601">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B88AF29"/>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7B3DF29B"/>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3145078"/>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A87E42F">
            <w:pPr>
              <w:jc w:val="center"/>
            </w:pPr>
            <w:r>
              <w:rPr>
                <w:rFonts w:ascii="宋体" w:hAnsi="宋体" w:eastAsia="宋体"/>
                <w:sz w:val="16"/>
              </w:rPr>
              <w:t>自治区人均缴费金额</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57772AC4">
            <w:pPr>
              <w:jc w:val="center"/>
            </w:pPr>
            <w:r>
              <w:rPr>
                <w:rFonts w:ascii="宋体" w:hAnsi="宋体" w:eastAsia="宋体"/>
                <w:sz w:val="16"/>
              </w:rPr>
              <w:t>10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CA7CE72">
            <w:pPr>
              <w:jc w:val="center"/>
            </w:pPr>
            <w:r>
              <w:rPr>
                <w:rFonts w:ascii="宋体" w:hAnsi="宋体" w:eastAsia="宋体"/>
                <w:sz w:val="16"/>
              </w:rPr>
              <w:t>=7.0957元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7F0190C">
            <w:pPr>
              <w:jc w:val="center"/>
            </w:pPr>
            <w:r>
              <w:rPr>
                <w:rFonts w:ascii="宋体" w:hAnsi="宋体" w:eastAsia="宋体"/>
                <w:sz w:val="16"/>
              </w:rPr>
              <w:t>7.0957元</w:t>
            </w:r>
          </w:p>
        </w:tc>
        <w:tc>
          <w:tcPr>
            <w:tcW w:w="6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6CF92">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6749E8B9">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7B989CF">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AB31C4A">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022B3CC">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673C56D">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4F2A52A">
            <w:pPr>
              <w:jc w:val="center"/>
            </w:pPr>
          </w:p>
        </w:tc>
      </w:tr>
      <w:tr w14:paraId="00C602A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CBA75B0"/>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16704">
            <w:pPr>
              <w:jc w:val="center"/>
            </w:pPr>
            <w:r>
              <w:rPr>
                <w:rFonts w:ascii="宋体" w:hAnsi="宋体" w:eastAsia="宋体"/>
                <w:sz w:val="16"/>
              </w:rPr>
              <w:t>效益指标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C610E">
            <w:pPr>
              <w:jc w:val="center"/>
            </w:pPr>
            <w:r>
              <w:rPr>
                <w:rFonts w:ascii="宋体" w:hAnsi="宋体" w:eastAsia="宋体"/>
                <w:sz w:val="16"/>
              </w:rPr>
              <w:t>社会效益指标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F808AB8">
            <w:pPr>
              <w:jc w:val="center"/>
            </w:pPr>
            <w:r>
              <w:rPr>
                <w:rFonts w:ascii="宋体" w:hAnsi="宋体" w:eastAsia="宋体"/>
                <w:sz w:val="16"/>
              </w:rPr>
              <w:t>政策知晓率</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468917A2">
            <w:pPr>
              <w:jc w:val="center"/>
            </w:pPr>
            <w:r>
              <w:rPr>
                <w:rFonts w:ascii="宋体" w:hAnsi="宋体" w:eastAsia="宋体"/>
                <w:sz w:val="16"/>
              </w:rPr>
              <w:t>10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A130E14">
            <w:pPr>
              <w:jc w:val="center"/>
            </w:pPr>
            <w:r>
              <w:rPr>
                <w:rFonts w:ascii="宋体" w:hAnsi="宋体" w:eastAsia="宋体"/>
                <w:sz w:val="16"/>
              </w:rPr>
              <w:t>&gt;=80%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6352112">
            <w:pPr>
              <w:jc w:val="center"/>
            </w:pPr>
            <w:r>
              <w:rPr>
                <w:rFonts w:ascii="宋体" w:hAnsi="宋体" w:eastAsia="宋体"/>
                <w:sz w:val="16"/>
              </w:rPr>
              <w:t>80%</w:t>
            </w:r>
          </w:p>
        </w:tc>
        <w:tc>
          <w:tcPr>
            <w:tcW w:w="6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219E9">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5E44E21E">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B2D19FC">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40A3FAB">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0881A38">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EA55251">
            <w:pPr>
              <w:jc w:val="center"/>
            </w:pPr>
            <w:r>
              <w:rPr>
                <w:rFonts w:ascii="宋体" w:hAnsi="宋体" w:eastAsia="宋体"/>
                <w:sz w:val="16"/>
              </w:rPr>
              <w:t>说明材料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C4EB94F">
            <w:pPr>
              <w:jc w:val="center"/>
            </w:pPr>
          </w:p>
        </w:tc>
      </w:tr>
      <w:tr w14:paraId="1825D8C3">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5DA4C82"/>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14013AE8"/>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7B9D6DF9"/>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D3B2F99">
            <w:pPr>
              <w:jc w:val="center"/>
            </w:pPr>
            <w:r>
              <w:rPr>
                <w:rFonts w:ascii="宋体" w:hAnsi="宋体" w:eastAsia="宋体"/>
                <w:sz w:val="16"/>
              </w:rPr>
              <w:t>对健全医疗保障制度体系的作用</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16AC95A4">
            <w:pPr>
              <w:jc w:val="center"/>
            </w:pPr>
            <w:r>
              <w:rPr>
                <w:rFonts w:ascii="宋体" w:hAnsi="宋体" w:eastAsia="宋体"/>
                <w:sz w:val="16"/>
              </w:rPr>
              <w:t>10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EB40BFE">
            <w:pPr>
              <w:jc w:val="center"/>
            </w:pPr>
            <w:r>
              <w:rPr>
                <w:rFonts w:ascii="宋体" w:hAnsi="宋体" w:eastAsia="宋体"/>
                <w:sz w:val="16"/>
              </w:rPr>
              <w:t>成效明显</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0A55909">
            <w:pPr>
              <w:jc w:val="center"/>
            </w:pPr>
            <w:r>
              <w:rPr>
                <w:rFonts w:ascii="宋体" w:hAnsi="宋体" w:eastAsia="宋体"/>
                <w:sz w:val="16"/>
              </w:rPr>
              <w:t>成效明显</w:t>
            </w:r>
          </w:p>
        </w:tc>
        <w:tc>
          <w:tcPr>
            <w:tcW w:w="6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2D5A2">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42044ABA">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21FECF5">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1E6412C">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E00791D">
            <w:pPr>
              <w:jc w:val="center"/>
            </w:pPr>
            <w:r>
              <w:rPr>
                <w:rFonts w:ascii="宋体" w:hAnsi="宋体" w:eastAsia="宋体"/>
                <w:sz w:val="16"/>
              </w:rPr>
              <w:t>按评判等级赋分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488F392">
            <w:pPr>
              <w:jc w:val="center"/>
            </w:pPr>
            <w:r>
              <w:rPr>
                <w:rFonts w:ascii="宋体" w:hAnsi="宋体" w:eastAsia="宋体"/>
                <w:sz w:val="16"/>
              </w:rPr>
              <w:t>说明材料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BADE24B">
            <w:pPr>
              <w:jc w:val="center"/>
            </w:pPr>
          </w:p>
        </w:tc>
      </w:tr>
      <w:tr w14:paraId="3F3F4217">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08F3398"/>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90A4936">
            <w:pPr>
              <w:jc w:val="center"/>
            </w:pPr>
            <w:r>
              <w:rPr>
                <w:rFonts w:ascii="宋体" w:hAnsi="宋体" w:eastAsia="宋体"/>
                <w:sz w:val="16"/>
              </w:rPr>
              <w:t>满意度指标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8117C69">
            <w:pPr>
              <w:jc w:val="center"/>
            </w:pPr>
            <w:r>
              <w:rPr>
                <w:rFonts w:ascii="宋体" w:hAnsi="宋体" w:eastAsia="宋体"/>
                <w:sz w:val="16"/>
              </w:rPr>
              <w:t>满意度指标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9A05777">
            <w:pPr>
              <w:jc w:val="center"/>
            </w:pPr>
            <w:r>
              <w:rPr>
                <w:rFonts w:ascii="宋体" w:hAnsi="宋体" w:eastAsia="宋体"/>
                <w:sz w:val="16"/>
              </w:rPr>
              <w:t>保障对象的满意度</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1055D32E">
            <w:pPr>
              <w:jc w:val="center"/>
            </w:pPr>
            <w:r>
              <w:rPr>
                <w:rFonts w:ascii="宋体" w:hAnsi="宋体" w:eastAsia="宋体"/>
                <w:sz w:val="16"/>
              </w:rPr>
              <w:t>10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B70379C">
            <w:pPr>
              <w:jc w:val="center"/>
            </w:pPr>
            <w:r>
              <w:rPr>
                <w:rFonts w:ascii="宋体" w:hAnsi="宋体" w:eastAsia="宋体"/>
                <w:sz w:val="16"/>
              </w:rPr>
              <w:t>&gt;=90%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4215BB2">
            <w:pPr>
              <w:jc w:val="center"/>
            </w:pPr>
            <w:r>
              <w:rPr>
                <w:rFonts w:ascii="宋体" w:hAnsi="宋体" w:eastAsia="宋体"/>
                <w:sz w:val="16"/>
              </w:rPr>
              <w:t>90%</w:t>
            </w:r>
          </w:p>
        </w:tc>
        <w:tc>
          <w:tcPr>
            <w:tcW w:w="6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1B52A">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51612F52">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E351662">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801131A">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54CB0C6">
            <w:pPr>
              <w:jc w:val="center"/>
            </w:pPr>
            <w:r>
              <w:rPr>
                <w:rFonts w:ascii="宋体" w:hAnsi="宋体" w:eastAsia="宋体"/>
                <w:sz w:val="16"/>
              </w:rPr>
              <w:t>满意度赋分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2ACCAC1">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7B416A0">
            <w:pPr>
              <w:jc w:val="center"/>
            </w:pPr>
          </w:p>
        </w:tc>
      </w:tr>
      <w:tr w14:paraId="265D3A77">
        <w:tblPrEx>
          <w:tblCellMar>
            <w:top w:w="0" w:type="dxa"/>
            <w:left w:w="108" w:type="dxa"/>
            <w:bottom w:w="0" w:type="dxa"/>
            <w:right w:w="108" w:type="dxa"/>
          </w:tblCellMar>
        </w:tblPrEx>
        <w:tc>
          <w:tcPr>
            <w:tcW w:w="247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B6003A">
            <w:pPr>
              <w:jc w:val="center"/>
            </w:pPr>
            <w:r>
              <w:rPr>
                <w:rFonts w:ascii="宋体" w:hAnsi="宋体" w:eastAsia="宋体"/>
                <w:sz w:val="16"/>
              </w:rPr>
              <w:t>总分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25AE9364">
            <w:pPr>
              <w:jc w:val="center"/>
            </w:pPr>
            <w:r>
              <w:rPr>
                <w:rFonts w:ascii="宋体" w:hAnsi="宋体" w:eastAsia="宋体"/>
                <w:sz w:val="16"/>
              </w:rPr>
              <w:t>100</w:t>
            </w:r>
          </w:p>
        </w:tc>
        <w:tc>
          <w:tcPr>
            <w:tcW w:w="856" w:type="dxa"/>
            <w:tcBorders>
              <w:top w:val="single" w:color="auto" w:sz="10" w:space="0"/>
              <w:left w:val="single" w:color="auto" w:sz="10" w:space="0"/>
              <w:bottom w:val="single" w:color="auto" w:sz="10" w:space="0"/>
              <w:right w:val="single" w:color="auto" w:sz="10" w:space="0"/>
              <w:insideV w:val="single" w:sz="10" w:space="0"/>
            </w:tcBorders>
          </w:tcPr>
          <w:p w14:paraId="55477580"/>
        </w:tc>
        <w:tc>
          <w:tcPr>
            <w:tcW w:w="776" w:type="dxa"/>
            <w:tcBorders>
              <w:top w:val="single" w:color="auto" w:sz="10" w:space="0"/>
              <w:left w:val="single" w:color="auto" w:sz="10" w:space="0"/>
              <w:bottom w:val="single" w:color="auto" w:sz="10" w:space="0"/>
              <w:right w:val="single" w:color="auto" w:sz="10" w:space="0"/>
              <w:insideV w:val="single" w:sz="10" w:space="0"/>
            </w:tcBorders>
          </w:tcPr>
          <w:p w14:paraId="12045F4C"/>
        </w:tc>
        <w:tc>
          <w:tcPr>
            <w:tcW w:w="626" w:type="dxa"/>
            <w:gridSpan w:val="2"/>
            <w:tcBorders>
              <w:top w:val="single" w:color="auto" w:sz="10" w:space="0"/>
              <w:left w:val="single" w:color="auto" w:sz="10" w:space="0"/>
              <w:bottom w:val="single" w:color="auto" w:sz="10" w:space="0"/>
              <w:right w:val="single" w:color="auto" w:sz="10" w:space="0"/>
              <w:insideV w:val="single" w:sz="10" w:space="0"/>
            </w:tcBorders>
          </w:tcPr>
          <w:p w14:paraId="55DC7BB1"/>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42F90EDD">
            <w:pPr>
              <w:jc w:val="center"/>
            </w:pPr>
            <w:r>
              <w:rPr>
                <w:rFonts w:ascii="宋体" w:hAnsi="宋体" w:eastAsia="宋体"/>
                <w:sz w:val="16"/>
              </w:rPr>
              <w:t>100分</w:t>
            </w:r>
          </w:p>
        </w:tc>
        <w:tc>
          <w:tcPr>
            <w:tcW w:w="615" w:type="dxa"/>
            <w:tcBorders>
              <w:top w:val="single" w:color="auto" w:sz="10" w:space="0"/>
              <w:left w:val="single" w:color="auto" w:sz="10" w:space="0"/>
              <w:bottom w:val="single" w:color="auto" w:sz="10" w:space="0"/>
              <w:right w:val="single" w:color="auto" w:sz="10" w:space="0"/>
              <w:insideV w:val="single" w:sz="10" w:space="0"/>
            </w:tcBorders>
          </w:tcPr>
          <w:p w14:paraId="4996C04E"/>
        </w:tc>
        <w:tc>
          <w:tcPr>
            <w:tcW w:w="615" w:type="dxa"/>
            <w:tcBorders>
              <w:top w:val="single" w:color="auto" w:sz="10" w:space="0"/>
              <w:left w:val="single" w:color="auto" w:sz="10" w:space="0"/>
              <w:bottom w:val="single" w:color="auto" w:sz="10" w:space="0"/>
              <w:right w:val="single" w:color="auto" w:sz="10" w:space="0"/>
              <w:insideV w:val="single" w:sz="10" w:space="0"/>
            </w:tcBorders>
          </w:tcPr>
          <w:p w14:paraId="6FC14327"/>
        </w:tc>
        <w:tc>
          <w:tcPr>
            <w:tcW w:w="616" w:type="dxa"/>
            <w:tcBorders>
              <w:top w:val="single" w:color="auto" w:sz="10" w:space="0"/>
              <w:left w:val="single" w:color="auto" w:sz="10" w:space="0"/>
              <w:bottom w:val="single" w:color="auto" w:sz="10" w:space="0"/>
              <w:right w:val="single" w:color="auto" w:sz="10" w:space="0"/>
              <w:insideV w:val="single" w:sz="10" w:space="0"/>
            </w:tcBorders>
          </w:tcPr>
          <w:p w14:paraId="6F3489EF"/>
        </w:tc>
        <w:tc>
          <w:tcPr>
            <w:tcW w:w="615" w:type="dxa"/>
            <w:tcBorders>
              <w:top w:val="single" w:color="auto" w:sz="10" w:space="0"/>
              <w:left w:val="single" w:color="auto" w:sz="10" w:space="0"/>
              <w:bottom w:val="single" w:color="auto" w:sz="10" w:space="0"/>
              <w:right w:val="single" w:color="auto" w:sz="10" w:space="0"/>
              <w:insideV w:val="single" w:sz="10" w:space="0"/>
            </w:tcBorders>
          </w:tcPr>
          <w:p w14:paraId="6B6B64DE"/>
        </w:tc>
        <w:tc>
          <w:tcPr>
            <w:tcW w:w="631" w:type="dxa"/>
            <w:tcBorders>
              <w:top w:val="single" w:color="auto" w:sz="10" w:space="0"/>
              <w:left w:val="single" w:color="auto" w:sz="10" w:space="0"/>
              <w:bottom w:val="single" w:color="auto" w:sz="10" w:space="0"/>
              <w:right w:val="single" w:color="auto" w:sz="10" w:space="0"/>
              <w:insideV w:val="single" w:sz="10" w:space="0"/>
            </w:tcBorders>
          </w:tcPr>
          <w:p w14:paraId="2040E137"/>
        </w:tc>
      </w:tr>
    </w:tbl>
    <w:p w14:paraId="1B81A79E">
      <w:r>
        <w:br w:type="page"/>
      </w:r>
    </w:p>
    <w:tbl>
      <w:tblPr>
        <w:tblStyle w:val="9"/>
        <w:tblW w:w="0" w:type="auto"/>
        <w:tblInd w:w="0" w:type="dxa"/>
        <w:tblLayout w:type="autofit"/>
        <w:tblCellMar>
          <w:top w:w="0" w:type="dxa"/>
          <w:left w:w="108" w:type="dxa"/>
          <w:bottom w:w="0" w:type="dxa"/>
          <w:right w:w="108" w:type="dxa"/>
        </w:tblCellMar>
      </w:tblPr>
      <w:tblGrid>
        <w:gridCol w:w="602"/>
        <w:gridCol w:w="551"/>
        <w:gridCol w:w="551"/>
        <w:gridCol w:w="551"/>
        <w:gridCol w:w="577"/>
        <w:gridCol w:w="936"/>
        <w:gridCol w:w="776"/>
        <w:gridCol w:w="696"/>
        <w:gridCol w:w="627"/>
        <w:gridCol w:w="551"/>
        <w:gridCol w:w="936"/>
        <w:gridCol w:w="551"/>
        <w:gridCol w:w="552"/>
        <w:gridCol w:w="603"/>
      </w:tblGrid>
      <w:tr w14:paraId="37F1F859">
        <w:tblPrEx>
          <w:tblCellMar>
            <w:top w:w="0" w:type="dxa"/>
            <w:left w:w="108" w:type="dxa"/>
            <w:bottom w:w="0" w:type="dxa"/>
            <w:right w:w="108" w:type="dxa"/>
          </w:tblCellMar>
        </w:tblPrEx>
        <w:tc>
          <w:tcPr>
            <w:tcW w:w="8848" w:type="dxa"/>
            <w:gridSpan w:val="14"/>
            <w:vAlign w:val="center"/>
          </w:tcPr>
          <w:p w14:paraId="495928BB">
            <w:pPr>
              <w:jc w:val="center"/>
            </w:pPr>
            <w:r>
              <w:rPr>
                <w:rFonts w:ascii="宋体" w:hAnsi="宋体" w:eastAsia="宋体"/>
                <w:sz w:val="24"/>
              </w:rPr>
              <w:t>项目支出绩效自评表</w:t>
            </w:r>
          </w:p>
        </w:tc>
      </w:tr>
      <w:tr w14:paraId="2ACED989">
        <w:tblPrEx>
          <w:tblCellMar>
            <w:top w:w="0" w:type="dxa"/>
            <w:left w:w="108" w:type="dxa"/>
            <w:bottom w:w="0" w:type="dxa"/>
            <w:right w:w="108" w:type="dxa"/>
          </w:tblCellMar>
        </w:tblPrEx>
        <w:tc>
          <w:tcPr>
            <w:tcW w:w="8848" w:type="dxa"/>
            <w:gridSpan w:val="14"/>
            <w:vAlign w:val="center"/>
          </w:tcPr>
          <w:p w14:paraId="38A7D96F">
            <w:pPr>
              <w:jc w:val="center"/>
            </w:pPr>
            <w:r>
              <w:rPr>
                <w:rFonts w:ascii="宋体" w:hAnsi="宋体" w:eastAsia="宋体"/>
                <w:sz w:val="24"/>
              </w:rPr>
              <w:t>(2024年度)</w:t>
            </w:r>
          </w:p>
        </w:tc>
      </w:tr>
      <w:tr w14:paraId="528FA6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E9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27C28D">
            <w:pPr>
              <w:jc w:val="center"/>
            </w:pPr>
            <w:r>
              <w:rPr>
                <w:rFonts w:ascii="宋体" w:hAnsi="宋体" w:eastAsia="宋体"/>
                <w:sz w:val="16"/>
              </w:rPr>
              <w:t>一次性改制企业医疗（本级）</w:t>
            </w:r>
          </w:p>
        </w:tc>
      </w:tr>
      <w:tr w14:paraId="5953DE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69F5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B226DD">
            <w:pPr>
              <w:jc w:val="center"/>
            </w:pPr>
            <w:r>
              <w:rPr>
                <w:rFonts w:ascii="宋体" w:hAnsi="宋体" w:eastAsia="宋体"/>
                <w:sz w:val="16"/>
              </w:rPr>
              <w:t>特克斯县医疗保障局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81C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25D0FA">
            <w:pPr>
              <w:jc w:val="center"/>
            </w:pPr>
            <w:r>
              <w:rPr>
                <w:rFonts w:ascii="宋体" w:hAnsi="宋体" w:eastAsia="宋体"/>
                <w:sz w:val="16"/>
              </w:rPr>
              <w:t>特克斯县医疗保障局</w:t>
            </w:r>
          </w:p>
        </w:tc>
      </w:tr>
      <w:tr w14:paraId="13660E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33345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9A36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1AC5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7E94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87FB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745E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A55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6D833">
            <w:pPr>
              <w:jc w:val="center"/>
            </w:pPr>
            <w:r>
              <w:rPr>
                <w:rFonts w:ascii="宋体" w:hAnsi="宋体" w:eastAsia="宋体"/>
                <w:sz w:val="16"/>
              </w:rPr>
              <w:t>得分</w:t>
            </w:r>
          </w:p>
        </w:tc>
      </w:tr>
      <w:tr w14:paraId="340650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A1C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C81B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82E03">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6A623">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12AEF">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6CE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0D2EE">
            <w:pPr>
              <w:jc w:val="center"/>
            </w:pPr>
            <w:r>
              <w:rPr>
                <w:rFonts w:ascii="宋体" w:hAnsi="宋体" w:eastAsia="宋体"/>
                <w:sz w:val="16"/>
              </w:rPr>
              <w:t>65.79%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DC785">
            <w:pPr>
              <w:jc w:val="center"/>
            </w:pPr>
            <w:r>
              <w:rPr>
                <w:rFonts w:ascii="宋体" w:hAnsi="宋体" w:eastAsia="宋体"/>
                <w:sz w:val="16"/>
              </w:rPr>
              <w:t>1.45</w:t>
            </w:r>
          </w:p>
        </w:tc>
      </w:tr>
      <w:tr w14:paraId="36D32E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8BB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6FF4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AB1B4">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765FD">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6A390">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4F6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74D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DFB61">
            <w:pPr>
              <w:jc w:val="center"/>
            </w:pPr>
            <w:r>
              <w:rPr>
                <w:rFonts w:ascii="宋体" w:hAnsi="宋体" w:eastAsia="宋体"/>
                <w:sz w:val="16"/>
              </w:rPr>
              <w:t>—</w:t>
            </w:r>
          </w:p>
        </w:tc>
      </w:tr>
      <w:tr w14:paraId="54EA71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745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D2DB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C3D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EC2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361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D13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394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9ABC">
            <w:pPr>
              <w:jc w:val="center"/>
            </w:pPr>
            <w:r>
              <w:rPr>
                <w:rFonts w:ascii="宋体" w:hAnsi="宋体" w:eastAsia="宋体"/>
                <w:sz w:val="16"/>
              </w:rPr>
              <w:t>—</w:t>
            </w:r>
          </w:p>
        </w:tc>
      </w:tr>
      <w:tr w14:paraId="51BD93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A8D2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89818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416A3F">
            <w:pPr>
              <w:jc w:val="center"/>
            </w:pPr>
            <w:r>
              <w:rPr>
                <w:rFonts w:ascii="宋体" w:hAnsi="宋体" w:eastAsia="宋体"/>
                <w:sz w:val="16"/>
              </w:rPr>
              <w:t>实际完成情况</w:t>
            </w:r>
          </w:p>
        </w:tc>
      </w:tr>
      <w:tr w14:paraId="26FB3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F32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2B359F">
            <w:pPr>
              <w:jc w:val="both"/>
            </w:pPr>
            <w:r>
              <w:rPr>
                <w:rFonts w:ascii="宋体" w:hAnsi="宋体" w:eastAsia="宋体"/>
                <w:sz w:val="16"/>
              </w:rPr>
              <w:t>该项目主要是为了解决企业下岗人员的参保基本医疗问题，减轻他们的医疗负担，维护社会秩序稳定和和谐发展，让特克斯县下岗职工更深切地感受到国家发展进步，共同分享经济发展的成果，参保人员最低缴费工资基数为4769元，工资待遇的8%，每月参保费381.53元，每年每人预计参保费4578.31元，因本年大多数下岗职工退休，预计缴费人员83名，使我县一次性改制企业退休人员住院报销、买药用药不受影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39E5BF">
            <w:pPr>
              <w:jc w:val="both"/>
            </w:pPr>
            <w:r>
              <w:rPr>
                <w:rFonts w:ascii="宋体" w:hAnsi="宋体" w:eastAsia="宋体"/>
                <w:sz w:val="16"/>
              </w:rPr>
              <w:t>2024年一次性改制企业退休人员申报缴费人77名，参保人员最低缴费工资基数为4578.31元，工资待遇的8%，每月参保费242.72元，因本年大多数下岗职工退休剩下6名一次性改制企业退休人员今年没有申报医疗费没有办理退休。</w:t>
            </w:r>
          </w:p>
        </w:tc>
      </w:tr>
      <w:tr w14:paraId="44CD51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BC1D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A9A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C6F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7FF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774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1925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FF58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2BC2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D9C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B1C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82C9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896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E263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AB52C">
            <w:pPr>
              <w:jc w:val="center"/>
            </w:pPr>
            <w:r>
              <w:rPr>
                <w:rFonts w:ascii="宋体" w:hAnsi="宋体" w:eastAsia="宋体"/>
                <w:sz w:val="16"/>
              </w:rPr>
              <w:t>偏差原因分析及改进措施</w:t>
            </w:r>
          </w:p>
        </w:tc>
      </w:tr>
      <w:tr w14:paraId="0C1423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A8B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2214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B1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C931">
            <w:pPr>
              <w:jc w:val="center"/>
            </w:pPr>
            <w:r>
              <w:rPr>
                <w:rFonts w:ascii="宋体" w:hAnsi="宋体" w:eastAsia="宋体"/>
                <w:sz w:val="16"/>
              </w:rPr>
              <w:t>参保人数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75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BF05">
            <w:pPr>
              <w:jc w:val="center"/>
            </w:pPr>
            <w:r>
              <w:rPr>
                <w:rFonts w:ascii="宋体" w:hAnsi="宋体" w:eastAsia="宋体"/>
                <w:sz w:val="16"/>
              </w:rPr>
              <w:t>&gt;=83人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EC77E">
            <w:pPr>
              <w:jc w:val="center"/>
            </w:pPr>
            <w:r>
              <w:rPr>
                <w:rFonts w:ascii="宋体" w:hAnsi="宋体" w:eastAsia="宋体"/>
                <w:sz w:val="16"/>
              </w:rPr>
              <w:t>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E3867">
            <w:pPr>
              <w:jc w:val="center"/>
            </w:pPr>
            <w:r>
              <w:rPr>
                <w:rFonts w:ascii="宋体" w:hAnsi="宋体" w:eastAsia="宋体"/>
                <w:sz w:val="16"/>
              </w:rPr>
              <w:t>92.77%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5CFAF">
            <w:pPr>
              <w:jc w:val="center"/>
            </w:pPr>
            <w:r>
              <w:rPr>
                <w:rFonts w:ascii="宋体" w:hAnsi="宋体" w:eastAsia="宋体"/>
                <w:sz w:val="16"/>
              </w:rPr>
              <w:t>9.28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960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DDE3D">
            <w:pPr>
              <w:jc w:val="center"/>
            </w:pPr>
            <w:r>
              <w:rPr>
                <w:rFonts w:ascii="宋体" w:hAnsi="宋体" w:eastAsia="宋体"/>
                <w:sz w:val="16"/>
              </w:rPr>
              <w:t>206人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79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B9D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58A2">
            <w:pPr>
              <w:jc w:val="center"/>
            </w:pPr>
            <w:r>
              <w:rPr>
                <w:rFonts w:ascii="宋体" w:hAnsi="宋体" w:eastAsia="宋体"/>
                <w:sz w:val="16"/>
              </w:rPr>
              <w:t>2024年6名一次性改制企业退休人员没有申报医疗参保</w:t>
            </w:r>
            <w:r>
              <w:rPr>
                <w:rFonts w:hint="eastAsia" w:ascii="宋体" w:hAnsi="宋体"/>
                <w:sz w:val="16"/>
                <w:lang w:eastAsia="zh-CN"/>
              </w:rPr>
              <w:t>。</w:t>
            </w:r>
          </w:p>
        </w:tc>
      </w:tr>
      <w:tr w14:paraId="22E950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544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8B4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009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FF656">
            <w:pPr>
              <w:jc w:val="center"/>
            </w:pPr>
            <w:r>
              <w:rPr>
                <w:rFonts w:ascii="宋体" w:hAnsi="宋体" w:eastAsia="宋体"/>
                <w:sz w:val="16"/>
              </w:rPr>
              <w:t>医疗保险待遇覆盖率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BC17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F1E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E21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65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46D7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21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75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025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6C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1CD5C">
            <w:pPr>
              <w:jc w:val="center"/>
            </w:pPr>
          </w:p>
        </w:tc>
      </w:tr>
      <w:tr w14:paraId="028D79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D68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97B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EA2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FE9C2">
            <w:pPr>
              <w:jc w:val="center"/>
            </w:pPr>
            <w:r>
              <w:rPr>
                <w:rFonts w:ascii="宋体" w:hAnsi="宋体" w:eastAsia="宋体"/>
                <w:sz w:val="16"/>
              </w:rPr>
              <w:t>医疗保险待遇按月发放及时率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383E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C1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F7B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402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C3E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27F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BD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1D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AD8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44A2">
            <w:pPr>
              <w:jc w:val="center"/>
            </w:pPr>
          </w:p>
        </w:tc>
      </w:tr>
      <w:tr w14:paraId="7B102D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978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E5A4A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33BC7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A37A1">
            <w:pPr>
              <w:jc w:val="center"/>
            </w:pPr>
            <w:r>
              <w:rPr>
                <w:rFonts w:ascii="宋体" w:hAnsi="宋体" w:eastAsia="宋体"/>
                <w:sz w:val="16"/>
              </w:rPr>
              <w:t>一次性改制企业医疗每月缴费率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4B2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88FF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77E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447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9DA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2C0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24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8E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A6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EBBCB">
            <w:pPr>
              <w:jc w:val="center"/>
            </w:pPr>
          </w:p>
        </w:tc>
      </w:tr>
      <w:tr w14:paraId="4C7F59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4B5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AA5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B72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81B4">
            <w:pPr>
              <w:jc w:val="center"/>
            </w:pPr>
            <w:r>
              <w:rPr>
                <w:rFonts w:ascii="宋体" w:hAnsi="宋体" w:eastAsia="宋体"/>
                <w:sz w:val="16"/>
              </w:rPr>
              <w:t>每年缴纳参保费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91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2F35B">
            <w:pPr>
              <w:jc w:val="center"/>
            </w:pPr>
            <w:r>
              <w:rPr>
                <w:rFonts w:ascii="宋体" w:hAnsi="宋体" w:eastAsia="宋体"/>
                <w:sz w:val="16"/>
              </w:rPr>
              <w:t>&lt;=4578.31元/人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D4DD7">
            <w:pPr>
              <w:jc w:val="center"/>
            </w:pPr>
            <w:r>
              <w:rPr>
                <w:rFonts w:ascii="宋体" w:hAnsi="宋体" w:eastAsia="宋体"/>
                <w:sz w:val="16"/>
              </w:rPr>
              <w:t>4578.31元/人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9AF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F6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C4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321C">
            <w:pPr>
              <w:jc w:val="center"/>
            </w:pPr>
            <w:r>
              <w:rPr>
                <w:rFonts w:ascii="宋体" w:hAnsi="宋体" w:eastAsia="宋体"/>
                <w:sz w:val="16"/>
              </w:rPr>
              <w:t>&lt;=2912.62元/人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1C6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630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9973">
            <w:pPr>
              <w:jc w:val="center"/>
            </w:pPr>
          </w:p>
        </w:tc>
      </w:tr>
      <w:tr w14:paraId="16AC40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EA6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BD5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B4DF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71CD8">
            <w:pPr>
              <w:jc w:val="center"/>
            </w:pPr>
            <w:r>
              <w:rPr>
                <w:rFonts w:ascii="宋体" w:hAnsi="宋体" w:eastAsia="宋体"/>
                <w:sz w:val="16"/>
              </w:rPr>
              <w:t>减轻家庭负担和看病就医的压力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50C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9B562">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759A0">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27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DB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D7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6895B">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19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500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46EB">
            <w:pPr>
              <w:jc w:val="center"/>
            </w:pPr>
          </w:p>
        </w:tc>
      </w:tr>
      <w:tr w14:paraId="1D10C3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A22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0B4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7C8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14A3C">
            <w:pPr>
              <w:jc w:val="center"/>
            </w:pPr>
            <w:r>
              <w:rPr>
                <w:rFonts w:ascii="宋体" w:hAnsi="宋体" w:eastAsia="宋体"/>
                <w:sz w:val="16"/>
              </w:rPr>
              <w:t>参保人员的满意度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1C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B3E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09A9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029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F09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616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84D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ADC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6D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5DEC">
            <w:pPr>
              <w:jc w:val="center"/>
            </w:pPr>
          </w:p>
        </w:tc>
      </w:tr>
      <w:tr w14:paraId="2E386DE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4088C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BA0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AFD9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34B6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48A4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1E2C">
            <w:pPr>
              <w:jc w:val="center"/>
            </w:pPr>
            <w:r>
              <w:rPr>
                <w:rFonts w:ascii="宋体" w:hAnsi="宋体" w:eastAsia="宋体"/>
                <w:sz w:val="16"/>
              </w:rPr>
              <w:t>90.73分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CE72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4418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3A91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35FA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B9D441"/>
        </w:tc>
      </w:tr>
    </w:tbl>
    <w:p w14:paraId="74B2C4A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506"/>
        <w:gridCol w:w="126"/>
        <w:gridCol w:w="632"/>
        <w:gridCol w:w="632"/>
        <w:gridCol w:w="632"/>
        <w:gridCol w:w="632"/>
        <w:gridCol w:w="632"/>
        <w:gridCol w:w="632"/>
      </w:tblGrid>
      <w:tr w14:paraId="7D6D102A">
        <w:tblPrEx>
          <w:tblCellMar>
            <w:top w:w="0" w:type="dxa"/>
            <w:left w:w="108" w:type="dxa"/>
            <w:bottom w:w="0" w:type="dxa"/>
            <w:right w:w="108" w:type="dxa"/>
          </w:tblCellMar>
        </w:tblPrEx>
        <w:tc>
          <w:tcPr>
            <w:tcW w:w="8848" w:type="dxa"/>
            <w:gridSpan w:val="15"/>
            <w:vAlign w:val="center"/>
          </w:tcPr>
          <w:p w14:paraId="2800F963">
            <w:pPr>
              <w:jc w:val="center"/>
            </w:pPr>
            <w:r>
              <w:rPr>
                <w:rFonts w:ascii="宋体" w:hAnsi="宋体" w:eastAsia="宋体"/>
                <w:sz w:val="24"/>
              </w:rPr>
              <w:t>项目支出绩效自评表</w:t>
            </w:r>
          </w:p>
        </w:tc>
      </w:tr>
      <w:tr w14:paraId="2DED92CD">
        <w:tblPrEx>
          <w:tblCellMar>
            <w:top w:w="0" w:type="dxa"/>
            <w:left w:w="108" w:type="dxa"/>
            <w:bottom w:w="0" w:type="dxa"/>
            <w:right w:w="108" w:type="dxa"/>
          </w:tblCellMar>
        </w:tblPrEx>
        <w:tc>
          <w:tcPr>
            <w:tcW w:w="8848" w:type="dxa"/>
            <w:gridSpan w:val="15"/>
            <w:vAlign w:val="center"/>
          </w:tcPr>
          <w:p w14:paraId="6E533F88">
            <w:pPr>
              <w:jc w:val="center"/>
            </w:pPr>
            <w:r>
              <w:rPr>
                <w:rFonts w:ascii="宋体" w:hAnsi="宋体" w:eastAsia="宋体"/>
                <w:sz w:val="24"/>
              </w:rPr>
              <w:t>(2024年度)</w:t>
            </w:r>
          </w:p>
        </w:tc>
      </w:tr>
      <w:tr w14:paraId="63B60F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99CAD">
            <w:pPr>
              <w:jc w:val="center"/>
            </w:pPr>
            <w:r>
              <w:rPr>
                <w:rFonts w:ascii="宋体" w:hAnsi="宋体" w:eastAsia="宋体"/>
                <w:sz w:val="16"/>
              </w:rPr>
              <w:t>项目名称</w:t>
            </w:r>
          </w:p>
        </w:tc>
        <w:tc>
          <w:tcPr>
            <w:tcW w:w="8216"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28E31B3B">
            <w:pPr>
              <w:jc w:val="center"/>
            </w:pPr>
            <w:r>
              <w:rPr>
                <w:rFonts w:ascii="宋体" w:hAnsi="宋体" w:eastAsia="宋体"/>
                <w:sz w:val="16"/>
              </w:rPr>
              <w:t>离休人员医疗保障（本级）</w:t>
            </w:r>
          </w:p>
        </w:tc>
      </w:tr>
      <w:tr w14:paraId="44B6F2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23293">
            <w:pPr>
              <w:jc w:val="center"/>
            </w:pPr>
            <w:r>
              <w:rPr>
                <w:rFonts w:ascii="宋体" w:hAnsi="宋体" w:eastAsia="宋体"/>
                <w:sz w:val="16"/>
              </w:rPr>
              <w:t>主管部门</w:t>
            </w:r>
          </w:p>
        </w:tc>
        <w:tc>
          <w:tcPr>
            <w:tcW w:w="442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C10E1A0">
            <w:pPr>
              <w:jc w:val="center"/>
            </w:pPr>
            <w:r>
              <w:rPr>
                <w:rFonts w:ascii="宋体" w:hAnsi="宋体" w:eastAsia="宋体"/>
                <w:sz w:val="16"/>
              </w:rPr>
              <w:t>特克斯县医疗保障局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F8A2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621961">
            <w:pPr>
              <w:jc w:val="center"/>
            </w:pPr>
            <w:r>
              <w:rPr>
                <w:rFonts w:ascii="宋体" w:hAnsi="宋体" w:eastAsia="宋体"/>
                <w:sz w:val="16"/>
              </w:rPr>
              <w:t>特克斯县医疗保障局</w:t>
            </w:r>
          </w:p>
        </w:tc>
      </w:tr>
      <w:tr w14:paraId="3A37A0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71DFD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58CC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523C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A9AD9">
            <w:pPr>
              <w:jc w:val="center"/>
            </w:pPr>
            <w:r>
              <w:rPr>
                <w:rFonts w:ascii="宋体" w:hAnsi="宋体" w:eastAsia="宋体"/>
                <w:sz w:val="16"/>
              </w:rPr>
              <w:t>全年预算数</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7A02B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373D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38B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321D6">
            <w:pPr>
              <w:jc w:val="center"/>
            </w:pPr>
            <w:r>
              <w:rPr>
                <w:rFonts w:ascii="宋体" w:hAnsi="宋体" w:eastAsia="宋体"/>
                <w:sz w:val="16"/>
              </w:rPr>
              <w:t>得分</w:t>
            </w:r>
          </w:p>
        </w:tc>
      </w:tr>
      <w:tr w14:paraId="4654B2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2F5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69E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7FFF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78BC1">
            <w:pPr>
              <w:jc w:val="center"/>
            </w:pPr>
            <w:r>
              <w:rPr>
                <w:rFonts w:ascii="宋体" w:hAnsi="宋体" w:eastAsia="宋体"/>
                <w:sz w:val="16"/>
              </w:rPr>
              <w:t>10.00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4BBDC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C81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B292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141DF">
            <w:pPr>
              <w:jc w:val="center"/>
            </w:pPr>
            <w:r>
              <w:rPr>
                <w:rFonts w:ascii="宋体" w:hAnsi="宋体" w:eastAsia="宋体"/>
                <w:sz w:val="16"/>
              </w:rPr>
              <w:t>10.00</w:t>
            </w:r>
          </w:p>
        </w:tc>
      </w:tr>
      <w:tr w14:paraId="2ABF8C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9F9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70CA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947C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DD051">
            <w:pPr>
              <w:jc w:val="center"/>
            </w:pPr>
            <w:r>
              <w:rPr>
                <w:rFonts w:ascii="宋体" w:hAnsi="宋体" w:eastAsia="宋体"/>
                <w:sz w:val="16"/>
              </w:rPr>
              <w:t>10.00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5E122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88E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889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C29C">
            <w:pPr>
              <w:jc w:val="center"/>
            </w:pPr>
            <w:r>
              <w:rPr>
                <w:rFonts w:ascii="宋体" w:hAnsi="宋体" w:eastAsia="宋体"/>
                <w:sz w:val="16"/>
              </w:rPr>
              <w:t>—</w:t>
            </w:r>
          </w:p>
        </w:tc>
      </w:tr>
      <w:tr w14:paraId="043104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30B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86CC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21C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34850">
            <w:pPr>
              <w:jc w:val="center"/>
            </w:pPr>
            <w:r>
              <w:rPr>
                <w:rFonts w:ascii="宋体" w:hAnsi="宋体" w:eastAsia="宋体"/>
                <w:sz w:val="16"/>
              </w:rPr>
              <w:t>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F73D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9F4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A83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8E186">
            <w:pPr>
              <w:jc w:val="center"/>
            </w:pPr>
            <w:r>
              <w:rPr>
                <w:rFonts w:ascii="宋体" w:hAnsi="宋体" w:eastAsia="宋体"/>
                <w:sz w:val="16"/>
              </w:rPr>
              <w:t>—</w:t>
            </w:r>
          </w:p>
        </w:tc>
      </w:tr>
      <w:tr w14:paraId="577F20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1A1D2">
            <w:pPr>
              <w:jc w:val="center"/>
            </w:pPr>
            <w:r>
              <w:rPr>
                <w:rFonts w:ascii="宋体" w:hAnsi="宋体" w:eastAsia="宋体"/>
                <w:sz w:val="16"/>
              </w:rPr>
              <w:t>年度总体目标</w:t>
            </w:r>
          </w:p>
        </w:tc>
        <w:tc>
          <w:tcPr>
            <w:tcW w:w="429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AE6362">
            <w:pPr>
              <w:jc w:val="center"/>
            </w:pPr>
            <w:r>
              <w:rPr>
                <w:rFonts w:ascii="宋体" w:hAnsi="宋体" w:eastAsia="宋体"/>
                <w:sz w:val="16"/>
              </w:rPr>
              <w:t>预期目标</w:t>
            </w:r>
          </w:p>
        </w:tc>
        <w:tc>
          <w:tcPr>
            <w:tcW w:w="391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F45B74">
            <w:pPr>
              <w:jc w:val="center"/>
            </w:pPr>
            <w:r>
              <w:rPr>
                <w:rFonts w:ascii="宋体" w:hAnsi="宋体" w:eastAsia="宋体"/>
                <w:sz w:val="16"/>
              </w:rPr>
              <w:t>实际完成情况</w:t>
            </w:r>
          </w:p>
        </w:tc>
      </w:tr>
      <w:tr w14:paraId="0C6CC1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0845C"/>
        </w:tc>
        <w:tc>
          <w:tcPr>
            <w:tcW w:w="429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4EBBED">
            <w:pPr>
              <w:jc w:val="both"/>
            </w:pPr>
            <w:r>
              <w:rPr>
                <w:rFonts w:ascii="宋体" w:hAnsi="宋体" w:eastAsia="宋体"/>
                <w:sz w:val="16"/>
              </w:rPr>
              <w:t>为了解决</w:t>
            </w:r>
            <w:r>
              <w:rPr>
                <w:rFonts w:hint="eastAsia" w:ascii="宋体" w:hAnsi="宋体"/>
                <w:sz w:val="16"/>
                <w:lang w:eastAsia="zh-CN"/>
              </w:rPr>
              <w:t>离休</w:t>
            </w:r>
            <w:r>
              <w:rPr>
                <w:rFonts w:ascii="宋体" w:hAnsi="宋体" w:eastAsia="宋体"/>
                <w:sz w:val="16"/>
              </w:rPr>
              <w:t>二级残疾军人及老红军的医疗问题，减轻他们的医疗负担，维护社会秩序稳定和谐发展，让特克斯县离休人员更深切地感受到国家发展进步，共同分享经济发展的成果。保障对</w:t>
            </w:r>
            <w:r>
              <w:rPr>
                <w:rFonts w:hint="eastAsia" w:ascii="宋体" w:hAnsi="宋体"/>
                <w:sz w:val="16"/>
                <w:lang w:eastAsia="zh-CN"/>
              </w:rPr>
              <w:t>中华人民共和国成立前</w:t>
            </w:r>
            <w:r>
              <w:rPr>
                <w:rFonts w:ascii="宋体" w:hAnsi="宋体" w:eastAsia="宋体"/>
                <w:sz w:val="16"/>
              </w:rPr>
              <w:t>参加工作的离休干部和离休工人的每人1万元医疗周转金的发放和看病就医的医疗费用。</w:t>
            </w:r>
          </w:p>
        </w:tc>
        <w:tc>
          <w:tcPr>
            <w:tcW w:w="391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BE75C8">
            <w:pPr>
              <w:jc w:val="both"/>
            </w:pPr>
            <w:r>
              <w:rPr>
                <w:rFonts w:ascii="宋体" w:hAnsi="宋体" w:eastAsia="宋体"/>
                <w:sz w:val="16"/>
              </w:rPr>
              <w:t>2024年我县有6名离休人员，已完成本地项目资金10万元，其中周转金每人每年平均1.6万元的标准、总9.6</w:t>
            </w:r>
            <w:r>
              <w:rPr>
                <w:rFonts w:hint="eastAsia" w:ascii="宋体" w:hAnsi="宋体"/>
                <w:sz w:val="16"/>
                <w:lang w:eastAsia="zh-CN"/>
              </w:rPr>
              <w:t>万元</w:t>
            </w:r>
            <w:r>
              <w:rPr>
                <w:rFonts w:ascii="宋体" w:hAnsi="宋体" w:eastAsia="宋体"/>
                <w:sz w:val="16"/>
              </w:rPr>
              <w:t>用于医疗一次性周转金，00.4万元是离休人员医疗费用的保障。</w:t>
            </w:r>
          </w:p>
        </w:tc>
      </w:tr>
      <w:tr w14:paraId="72BAF3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C5E7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BC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707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92F3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78CE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3EE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C663D">
            <w:pPr>
              <w:jc w:val="center"/>
            </w:pPr>
            <w:r>
              <w:rPr>
                <w:rFonts w:ascii="宋体" w:hAnsi="宋体" w:eastAsia="宋体"/>
                <w:sz w:val="16"/>
              </w:rPr>
              <w:t>业绩值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B1AB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320C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25F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C59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3A4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DD2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8762">
            <w:pPr>
              <w:jc w:val="center"/>
            </w:pPr>
            <w:r>
              <w:rPr>
                <w:rFonts w:ascii="宋体" w:hAnsi="宋体" w:eastAsia="宋体"/>
                <w:sz w:val="16"/>
              </w:rPr>
              <w:t>偏差原因分析及改进措施</w:t>
            </w:r>
          </w:p>
        </w:tc>
      </w:tr>
      <w:tr w14:paraId="29F023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9A6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61F2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A93F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6925">
            <w:pPr>
              <w:jc w:val="center"/>
            </w:pPr>
            <w:r>
              <w:rPr>
                <w:rFonts w:ascii="宋体" w:hAnsi="宋体" w:eastAsia="宋体"/>
                <w:sz w:val="16"/>
              </w:rPr>
              <w:t>享受离休人员数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5CF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96EE">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F605F">
            <w:pPr>
              <w:jc w:val="center"/>
            </w:pPr>
            <w:r>
              <w:rPr>
                <w:rFonts w:ascii="宋体" w:hAnsi="宋体" w:eastAsia="宋体"/>
                <w:sz w:val="16"/>
              </w:rPr>
              <w:t>6人</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75D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F90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45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EFE9">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4A8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F58D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4FD98">
            <w:pPr>
              <w:jc w:val="center"/>
            </w:pPr>
          </w:p>
        </w:tc>
      </w:tr>
      <w:tr w14:paraId="05D561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E18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856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59B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6B046">
            <w:pPr>
              <w:jc w:val="center"/>
            </w:pPr>
            <w:r>
              <w:rPr>
                <w:rFonts w:ascii="宋体" w:hAnsi="宋体" w:eastAsia="宋体"/>
                <w:sz w:val="16"/>
              </w:rPr>
              <w:t>离休人员医疗费覆盖率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3D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F77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A2FFA">
            <w:pPr>
              <w:jc w:val="center"/>
            </w:pPr>
            <w:r>
              <w:rPr>
                <w:rFonts w:ascii="宋体" w:hAnsi="宋体" w:eastAsia="宋体"/>
                <w:sz w:val="16"/>
              </w:rPr>
              <w:t>100%</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3AF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2C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738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A2F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3E5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A34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2D92">
            <w:pPr>
              <w:jc w:val="center"/>
            </w:pPr>
          </w:p>
        </w:tc>
      </w:tr>
      <w:tr w14:paraId="69AFFB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A42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600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F59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1ADFD">
            <w:pPr>
              <w:jc w:val="center"/>
            </w:pPr>
            <w:r>
              <w:rPr>
                <w:rFonts w:ascii="宋体" w:hAnsi="宋体" w:eastAsia="宋体"/>
                <w:sz w:val="16"/>
              </w:rPr>
              <w:t>离休医疗周转金覆盖率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C7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0F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8E160">
            <w:pPr>
              <w:jc w:val="center"/>
            </w:pPr>
            <w:r>
              <w:rPr>
                <w:rFonts w:ascii="宋体" w:hAnsi="宋体" w:eastAsia="宋体"/>
                <w:sz w:val="16"/>
              </w:rPr>
              <w:t>100%</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041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869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B20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639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F9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916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7285A">
            <w:pPr>
              <w:jc w:val="center"/>
            </w:pPr>
          </w:p>
        </w:tc>
      </w:tr>
      <w:tr w14:paraId="6964EC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393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428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A9B3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B0C6A">
            <w:pPr>
              <w:jc w:val="center"/>
            </w:pPr>
            <w:r>
              <w:rPr>
                <w:rFonts w:ascii="宋体" w:hAnsi="宋体" w:eastAsia="宋体"/>
                <w:sz w:val="16"/>
              </w:rPr>
              <w:t>离休周转金发放及时率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AC0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1C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F946">
            <w:pPr>
              <w:jc w:val="center"/>
            </w:pPr>
            <w:r>
              <w:rPr>
                <w:rFonts w:ascii="宋体" w:hAnsi="宋体" w:eastAsia="宋体"/>
                <w:sz w:val="16"/>
              </w:rPr>
              <w:t>100%</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344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083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BE2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7A7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B27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B57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88518">
            <w:pPr>
              <w:jc w:val="center"/>
            </w:pPr>
          </w:p>
        </w:tc>
      </w:tr>
      <w:tr w14:paraId="03B776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96C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6CB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944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1EC4F">
            <w:pPr>
              <w:jc w:val="center"/>
            </w:pPr>
            <w:r>
              <w:rPr>
                <w:rFonts w:ascii="宋体" w:hAnsi="宋体" w:eastAsia="宋体"/>
                <w:sz w:val="16"/>
              </w:rPr>
              <w:t>离休医疗费用发放及时率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5C4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4BC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09711">
            <w:pPr>
              <w:jc w:val="center"/>
            </w:pPr>
            <w:r>
              <w:rPr>
                <w:rFonts w:ascii="宋体" w:hAnsi="宋体" w:eastAsia="宋体"/>
                <w:sz w:val="16"/>
              </w:rPr>
              <w:t>100%</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261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2BE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60D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B3E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49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400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B2AF">
            <w:pPr>
              <w:jc w:val="center"/>
            </w:pPr>
          </w:p>
        </w:tc>
      </w:tr>
      <w:tr w14:paraId="711DB9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0C2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5125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46FC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525A4">
            <w:pPr>
              <w:jc w:val="center"/>
            </w:pPr>
            <w:r>
              <w:rPr>
                <w:rFonts w:ascii="宋体" w:hAnsi="宋体" w:eastAsia="宋体"/>
                <w:sz w:val="16"/>
              </w:rPr>
              <w:t>离休人员人均周转金发放标准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F2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44545">
            <w:pPr>
              <w:jc w:val="center"/>
            </w:pPr>
            <w:r>
              <w:rPr>
                <w:rFonts w:ascii="宋体" w:hAnsi="宋体" w:eastAsia="宋体"/>
                <w:sz w:val="16"/>
              </w:rPr>
              <w:t>&lt;=9.6万元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DDD5">
            <w:pPr>
              <w:jc w:val="center"/>
            </w:pPr>
            <w:r>
              <w:rPr>
                <w:rFonts w:ascii="宋体" w:hAnsi="宋体" w:eastAsia="宋体"/>
                <w:sz w:val="16"/>
              </w:rPr>
              <w:t>9.6万元</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584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8DB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94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8CF6C">
            <w:pPr>
              <w:jc w:val="center"/>
            </w:pPr>
            <w:r>
              <w:rPr>
                <w:rFonts w:ascii="宋体" w:hAnsi="宋体" w:eastAsia="宋体"/>
                <w:sz w:val="16"/>
              </w:rPr>
              <w:t>6万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1E2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9FB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1E184">
            <w:pPr>
              <w:jc w:val="center"/>
            </w:pPr>
          </w:p>
        </w:tc>
      </w:tr>
      <w:tr w14:paraId="3290ED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6C2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B82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0CC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F9D5">
            <w:pPr>
              <w:jc w:val="center"/>
            </w:pPr>
            <w:r>
              <w:rPr>
                <w:rFonts w:ascii="宋体" w:hAnsi="宋体" w:eastAsia="宋体"/>
                <w:sz w:val="16"/>
              </w:rPr>
              <w:t>离休人员医疗费用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77F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496A6">
            <w:pPr>
              <w:jc w:val="center"/>
            </w:pPr>
            <w:r>
              <w:rPr>
                <w:rFonts w:ascii="宋体" w:hAnsi="宋体" w:eastAsia="宋体"/>
                <w:sz w:val="16"/>
              </w:rPr>
              <w:t>&lt;=0.4万元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0F1A7">
            <w:pPr>
              <w:jc w:val="center"/>
            </w:pPr>
            <w:r>
              <w:rPr>
                <w:rFonts w:ascii="宋体" w:hAnsi="宋体" w:eastAsia="宋体"/>
                <w:sz w:val="16"/>
              </w:rPr>
              <w:t>0.4万元</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3F1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69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88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BEBA">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45C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A4F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6019">
            <w:pPr>
              <w:jc w:val="center"/>
            </w:pPr>
          </w:p>
        </w:tc>
      </w:tr>
      <w:tr w14:paraId="3230D2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30B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2B9E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45D9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87700">
            <w:pPr>
              <w:jc w:val="center"/>
            </w:pPr>
            <w:r>
              <w:rPr>
                <w:rFonts w:ascii="宋体" w:hAnsi="宋体" w:eastAsia="宋体"/>
                <w:sz w:val="16"/>
              </w:rPr>
              <w:t>减轻家庭负担和看病就医的压力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1C3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8465F">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58D0B">
            <w:pPr>
              <w:jc w:val="center"/>
            </w:pPr>
            <w:r>
              <w:rPr>
                <w:rFonts w:ascii="宋体" w:hAnsi="宋体" w:eastAsia="宋体"/>
                <w:sz w:val="16"/>
              </w:rPr>
              <w:t>有效减轻</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58C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DF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100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6DF8E">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81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4D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D88CD">
            <w:pPr>
              <w:jc w:val="center"/>
            </w:pPr>
          </w:p>
        </w:tc>
      </w:tr>
      <w:tr w14:paraId="62546F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FE9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737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C73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ACC5B">
            <w:pPr>
              <w:jc w:val="center"/>
            </w:pPr>
            <w:r>
              <w:rPr>
                <w:rFonts w:ascii="宋体" w:hAnsi="宋体" w:eastAsia="宋体"/>
                <w:sz w:val="16"/>
              </w:rPr>
              <w:t>提升参保人员生活水平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4F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82C6">
            <w:pPr>
              <w:jc w:val="center"/>
            </w:pPr>
            <w:r>
              <w:rPr>
                <w:rFonts w:ascii="宋体" w:hAnsi="宋体" w:eastAsia="宋体"/>
                <w:sz w:val="16"/>
              </w:rPr>
              <w:t>稳定提升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4A4F">
            <w:pPr>
              <w:jc w:val="center"/>
            </w:pPr>
            <w:r>
              <w:rPr>
                <w:rFonts w:ascii="宋体" w:hAnsi="宋体" w:eastAsia="宋体"/>
                <w:sz w:val="16"/>
              </w:rPr>
              <w:tab/>
            </w:r>
            <w:r>
              <w:rPr>
                <w:rFonts w:ascii="宋体" w:hAnsi="宋体" w:eastAsia="宋体"/>
                <w:sz w:val="16"/>
              </w:rPr>
              <w:t>稳定提升</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D68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117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D0A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79B84">
            <w:pPr>
              <w:jc w:val="center"/>
            </w:pPr>
            <w:r>
              <w:rPr>
                <w:rFonts w:ascii="宋体" w:hAnsi="宋体" w:eastAsia="宋体"/>
                <w:sz w:val="16"/>
              </w:rPr>
              <w:t>稳定提升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C04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7B8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6886">
            <w:pPr>
              <w:jc w:val="center"/>
            </w:pPr>
          </w:p>
        </w:tc>
      </w:tr>
      <w:tr w14:paraId="6F8EA6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BC7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3A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7A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7F916">
            <w:pPr>
              <w:jc w:val="center"/>
            </w:pPr>
            <w:r>
              <w:rPr>
                <w:rFonts w:ascii="宋体" w:hAnsi="宋体" w:eastAsia="宋体"/>
                <w:sz w:val="16"/>
              </w:rPr>
              <w:t>离休人员满意度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780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46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69A6">
            <w:pPr>
              <w:jc w:val="center"/>
            </w:pPr>
            <w:r>
              <w:rPr>
                <w:rFonts w:ascii="宋体" w:hAnsi="宋体" w:eastAsia="宋体"/>
                <w:sz w:val="16"/>
              </w:rPr>
              <w:t>95%</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E03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234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E6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7E6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BA07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4A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2A9CD">
            <w:pPr>
              <w:jc w:val="center"/>
            </w:pPr>
          </w:p>
        </w:tc>
      </w:tr>
      <w:tr w14:paraId="3CF25D7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08C42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228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F6C0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CD712E"/>
        </w:tc>
        <w:tc>
          <w:tcPr>
            <w:tcW w:w="632" w:type="dxa"/>
            <w:gridSpan w:val="2"/>
            <w:tcBorders>
              <w:top w:val="single" w:color="auto" w:sz="10" w:space="0"/>
              <w:left w:val="single" w:color="auto" w:sz="10" w:space="0"/>
              <w:bottom w:val="single" w:color="auto" w:sz="10" w:space="0"/>
              <w:right w:val="single" w:color="auto" w:sz="10" w:space="0"/>
              <w:insideV w:val="single" w:sz="10" w:space="0"/>
            </w:tcBorders>
          </w:tcPr>
          <w:p w14:paraId="338FDA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8CC93">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125F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0DDF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F829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833B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9EEAE3"/>
        </w:tc>
      </w:tr>
    </w:tbl>
    <w:p w14:paraId="285F9FCB">
      <w:r>
        <w:br w:type="page"/>
      </w:r>
    </w:p>
    <w:p w14:paraId="6DC8EBA3">
      <w:pPr>
        <w:spacing w:line="640" w:lineRule="exact"/>
        <w:ind w:firstLine="640"/>
        <w:jc w:val="both"/>
        <w:outlineLvl w:val="2"/>
      </w:pPr>
      <w:r>
        <w:rPr>
          <w:rFonts w:ascii="黑体" w:hAnsi="黑体" w:eastAsia="黑体"/>
          <w:sz w:val="32"/>
        </w:rPr>
        <w:t>十二、其他需说明的事项</w:t>
      </w:r>
    </w:p>
    <w:p w14:paraId="20DC22D5">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3EC8E5D6">
      <w:r>
        <w:br w:type="page"/>
      </w:r>
    </w:p>
    <w:p w14:paraId="3BD1BCFA">
      <w:pPr>
        <w:spacing w:line="240" w:lineRule="auto"/>
        <w:jc w:val="center"/>
        <w:outlineLvl w:val="1"/>
      </w:pPr>
      <w:r>
        <w:rPr>
          <w:rFonts w:ascii="黑体" w:hAnsi="黑体" w:eastAsia="黑体"/>
          <w:sz w:val="32"/>
        </w:rPr>
        <w:t>第三部分 专业名词解释</w:t>
      </w:r>
    </w:p>
    <w:p w14:paraId="0D4C219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07835A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339CC50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1218E7E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4D49A502">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35E76FC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72E2FCF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19569B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B4D394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05F285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E770B5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4D6783BC">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2250B8E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7FB26BE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540E158C">
      <w:r>
        <w:br w:type="page"/>
      </w:r>
    </w:p>
    <w:p w14:paraId="62EE35EB">
      <w:pPr>
        <w:spacing w:line="240" w:lineRule="auto"/>
        <w:jc w:val="center"/>
        <w:outlineLvl w:val="1"/>
      </w:pPr>
      <w:r>
        <w:rPr>
          <w:rFonts w:ascii="黑体" w:hAnsi="黑体" w:eastAsia="黑体"/>
          <w:sz w:val="32"/>
        </w:rPr>
        <w:t>第四部分 部门决算报表（见附表）</w:t>
      </w:r>
    </w:p>
    <w:p w14:paraId="5DA63227">
      <w:pPr>
        <w:spacing w:line="240" w:lineRule="auto"/>
        <w:ind w:firstLine="640"/>
        <w:jc w:val="both"/>
      </w:pPr>
      <w:r>
        <w:rPr>
          <w:rFonts w:ascii="仿宋_GB2312" w:hAnsi="仿宋_GB2312" w:eastAsia="仿宋_GB2312"/>
          <w:b w:val="0"/>
          <w:sz w:val="32"/>
        </w:rPr>
        <w:t>一、《收入支出决算总表》</w:t>
      </w:r>
    </w:p>
    <w:p w14:paraId="41CF6F13">
      <w:pPr>
        <w:spacing w:line="240" w:lineRule="auto"/>
        <w:ind w:firstLine="640"/>
        <w:jc w:val="both"/>
      </w:pPr>
      <w:r>
        <w:rPr>
          <w:rFonts w:ascii="仿宋_GB2312" w:hAnsi="仿宋_GB2312" w:eastAsia="仿宋_GB2312"/>
          <w:b w:val="0"/>
          <w:sz w:val="32"/>
        </w:rPr>
        <w:t>二、《收入决算表》</w:t>
      </w:r>
    </w:p>
    <w:p w14:paraId="75CFC1A7">
      <w:pPr>
        <w:spacing w:line="240" w:lineRule="auto"/>
        <w:ind w:firstLine="640"/>
        <w:jc w:val="both"/>
      </w:pPr>
      <w:r>
        <w:rPr>
          <w:rFonts w:ascii="仿宋_GB2312" w:hAnsi="仿宋_GB2312" w:eastAsia="仿宋_GB2312"/>
          <w:b w:val="0"/>
          <w:sz w:val="32"/>
        </w:rPr>
        <w:t>三、《支出决算表》</w:t>
      </w:r>
    </w:p>
    <w:p w14:paraId="723C9FF9">
      <w:pPr>
        <w:spacing w:line="240" w:lineRule="auto"/>
        <w:ind w:firstLine="640"/>
        <w:jc w:val="both"/>
      </w:pPr>
      <w:r>
        <w:rPr>
          <w:rFonts w:ascii="仿宋_GB2312" w:hAnsi="仿宋_GB2312" w:eastAsia="仿宋_GB2312"/>
          <w:b w:val="0"/>
          <w:sz w:val="32"/>
        </w:rPr>
        <w:t>四、《财政拨款收入支出决算总表》</w:t>
      </w:r>
    </w:p>
    <w:p w14:paraId="56D2A5E4">
      <w:pPr>
        <w:spacing w:line="240" w:lineRule="auto"/>
        <w:ind w:firstLine="640"/>
        <w:jc w:val="both"/>
      </w:pPr>
      <w:r>
        <w:rPr>
          <w:rFonts w:ascii="仿宋_GB2312" w:hAnsi="仿宋_GB2312" w:eastAsia="仿宋_GB2312"/>
          <w:b w:val="0"/>
          <w:sz w:val="32"/>
        </w:rPr>
        <w:t>五、《一般公共预算财政拨款支出决算表》</w:t>
      </w:r>
    </w:p>
    <w:p w14:paraId="58287F5B">
      <w:pPr>
        <w:spacing w:line="240" w:lineRule="auto"/>
        <w:ind w:firstLine="640"/>
        <w:jc w:val="both"/>
      </w:pPr>
      <w:r>
        <w:rPr>
          <w:rFonts w:ascii="仿宋_GB2312" w:hAnsi="仿宋_GB2312" w:eastAsia="仿宋_GB2312"/>
          <w:b w:val="0"/>
          <w:sz w:val="32"/>
        </w:rPr>
        <w:t>六、《一般公共预算财政拨款基本支出决算表》</w:t>
      </w:r>
    </w:p>
    <w:p w14:paraId="36495E7C">
      <w:pPr>
        <w:spacing w:line="240" w:lineRule="auto"/>
        <w:ind w:firstLine="640"/>
        <w:jc w:val="both"/>
      </w:pPr>
      <w:r>
        <w:rPr>
          <w:rFonts w:ascii="仿宋_GB2312" w:hAnsi="仿宋_GB2312" w:eastAsia="仿宋_GB2312"/>
          <w:b w:val="0"/>
          <w:sz w:val="32"/>
        </w:rPr>
        <w:t>七、《政府性基金预算财政拨款收入支出决算表》</w:t>
      </w:r>
    </w:p>
    <w:p w14:paraId="1AF39748">
      <w:pPr>
        <w:spacing w:line="240" w:lineRule="auto"/>
        <w:ind w:firstLine="640"/>
        <w:jc w:val="both"/>
      </w:pPr>
      <w:r>
        <w:rPr>
          <w:rFonts w:ascii="仿宋_GB2312" w:hAnsi="仿宋_GB2312" w:eastAsia="仿宋_GB2312"/>
          <w:b w:val="0"/>
          <w:sz w:val="32"/>
        </w:rPr>
        <w:t>八、《国有资本经营预算财政拨款收入支出决算表》</w:t>
      </w:r>
    </w:p>
    <w:p w14:paraId="517260C2">
      <w:pPr>
        <w:spacing w:line="240" w:lineRule="auto"/>
        <w:ind w:firstLine="640"/>
        <w:jc w:val="both"/>
      </w:pPr>
      <w:r>
        <w:rPr>
          <w:rFonts w:ascii="仿宋_GB2312" w:hAnsi="仿宋_GB2312" w:eastAsia="仿宋_GB2312"/>
          <w:b w:val="0"/>
          <w:sz w:val="32"/>
        </w:rPr>
        <w:t>九、《财政拨款“三公”经费支出决算表》</w:t>
      </w:r>
    </w:p>
    <w:p w14:paraId="52F04F3B">
      <w:pPr>
        <w:spacing w:line="240" w:lineRule="auto"/>
        <w:ind w:firstLine="640"/>
        <w:jc w:val="both"/>
      </w:pPr>
    </w:p>
    <w:p w14:paraId="148AD804">
      <w:pPr>
        <w:spacing w:line="240" w:lineRule="auto"/>
        <w:ind w:firstLine="640"/>
        <w:jc w:val="both"/>
      </w:pPr>
    </w:p>
    <w:p w14:paraId="4244D60C">
      <w:pPr>
        <w:spacing w:line="240" w:lineRule="auto"/>
        <w:ind w:firstLine="640"/>
        <w:jc w:val="both"/>
      </w:pPr>
    </w:p>
    <w:p w14:paraId="6D84D551">
      <w:pPr>
        <w:spacing w:line="240" w:lineRule="auto"/>
        <w:ind w:firstLine="640"/>
        <w:jc w:val="both"/>
      </w:pPr>
    </w:p>
    <w:p w14:paraId="0E7F460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656E3D"/>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30836BC"/>
    <w:rsid w:val="464B7E04"/>
    <w:rsid w:val="464F7E64"/>
    <w:rsid w:val="46901EEE"/>
    <w:rsid w:val="469C74D2"/>
    <w:rsid w:val="47445515"/>
    <w:rsid w:val="4B4C0111"/>
    <w:rsid w:val="4BB23021"/>
    <w:rsid w:val="4EE852BE"/>
    <w:rsid w:val="4F3F074E"/>
    <w:rsid w:val="50DB5F45"/>
    <w:rsid w:val="52F92565"/>
    <w:rsid w:val="543D17CB"/>
    <w:rsid w:val="55DA564E"/>
    <w:rsid w:val="56E07045"/>
    <w:rsid w:val="583059FA"/>
    <w:rsid w:val="587E6212"/>
    <w:rsid w:val="5AFC6609"/>
    <w:rsid w:val="5FA17648"/>
    <w:rsid w:val="5FD320BD"/>
    <w:rsid w:val="5FDC5C20"/>
    <w:rsid w:val="60DE4D57"/>
    <w:rsid w:val="613409CB"/>
    <w:rsid w:val="61A46A97"/>
    <w:rsid w:val="62DD7D21"/>
    <w:rsid w:val="63D01E3F"/>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a7bff617-1588-4370-b3b0-1639cf637d0b</errorID>
      <errorWord>医疗救助</errorWord>
      <group>L1_Sensitive</group>
      <groupName>敏感问题</groupName>
      <ability>L2_UserSensitive</ability>
      <abilityName>自定义敏感词</abilityName>
      <candidateList/>
      <explain>来自自定义敏感词库。</explain>
      <paraID>1A891595</paraID>
      <start>27</start>
      <end>31</end>
      <status>ignored</status>
      <modifiedWord/>
      <trackRevisions>false</trackRevisions>
    </reviewItem>
    <reviewItem>
      <errorID>8bf0acf2-3a49-4928-868f-c11f37c8823b</errorID>
      <errorWord>医疗救助</errorWord>
      <group>L1_Sensitive</group>
      <groupName>敏感问题</groupName>
      <ability>L2_UserSensitive</ability>
      <abilityName>自定义敏感词</abilityName>
      <candidateList/>
      <explain>来自自定义敏感词库。</explain>
      <paraID>6FF22D83</paraID>
      <start>11</start>
      <end>15</end>
      <status>ignored</status>
      <modifiedWord/>
      <trackRevisions>false</trackRevisions>
    </reviewItem>
    <reviewItem>
      <errorID>90df9919-0711-4cf5-bbdd-807c62ff8ba4</errorID>
      <errorWord>医疗救助</errorWord>
      <group>L1_Sensitive</group>
      <groupName>敏感问题</groupName>
      <ability>L2_UserSensitive</ability>
      <abilityName>自定义敏感词</abilityName>
      <candidateList/>
      <explain>来自自定义敏感词库。</explain>
      <paraID>6FF22D83</paraID>
      <start>20</start>
      <end>24</end>
      <status>ignored</status>
      <modifiedWord/>
      <trackRevisions>false</trackRevisions>
    </reviewItem>
    <reviewItem>
      <errorID>45ef150b-fe8d-45e7-98de-6e1e49f04594</errorID>
      <errorWord>2月31日</errorWord>
      <group>L1_Sensitive</group>
      <groupName>敏感问题</groupName>
      <ability>L2_UserSensitive</ability>
      <abilityName>自定义敏感词</abilityName>
      <candidateList/>
      <explain>来自自定义敏感词库。</explain>
      <paraID>43CC7300</paraID>
      <start>8</start>
      <end>13</end>
      <status>ignored</status>
      <modifiedWord/>
      <trackRevisions>false</trackRevisions>
    </reviewItem>
    <reviewItem>
      <errorID>b49680f2-26ff-4eba-8b87-f11fec587129</errorID>
      <errorWord>医疗救助</errorWord>
      <group>L1_Sensitive</group>
      <groupName>敏感问题</groupName>
      <ability>L2_UserSensitive</ability>
      <abilityName>自定义敏感词</abilityName>
      <candidateList/>
      <explain>来自自定义敏感词库。</explain>
      <paraID>5C6D0248</paraID>
      <start>54</start>
      <end>58</end>
      <status>ignored</status>
      <modifiedWord/>
      <trackRevisions>false</trackRevisions>
    </reviewItem>
    <reviewItem>
      <errorID>ea4351fc-7269-4fa2-b77d-ccbe8eaec48b</errorID>
      <errorWord>医疗救助</errorWord>
      <group>L1_Sensitive</group>
      <groupName>敏感问题</groupName>
      <ability>L2_UserSensitive</ability>
      <abilityName>自定义敏感词</abilityName>
      <candidateList/>
      <explain>来自自定义敏感词库。</explain>
      <paraID>54CD362B</paraID>
      <start>54</start>
      <end>58</end>
      <status>ignored</status>
      <modifiedWord/>
      <trackRevisions>false</trackRevisions>
    </reviewItem>
    <reviewItem>
      <errorID>7544ce23-4a2a-46cb-8baa-e328e69db537</errorID>
      <errorWord>医疗救助</errorWord>
      <group>L1_Sensitive</group>
      <groupName>敏感问题</groupName>
      <ability>L2_UserSensitive</ability>
      <abilityName>自定义敏感词</abilityName>
      <candidateList/>
      <explain>来自自定义敏感词库。</explain>
      <paraID>175D3F2F</paraID>
      <start>16</start>
      <end>20</end>
      <status>ignored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fbfc62-b7c4-423f-a393-66daab74d369}">
  <ds:schemaRefs/>
</ds:datastoreItem>
</file>

<file path=docProps/app.xml><?xml version="1.0" encoding="utf-8"?>
<Properties xmlns="http://schemas.openxmlformats.org/officeDocument/2006/extended-properties" xmlns:vt="http://schemas.openxmlformats.org/officeDocument/2006/docPropsVTypes">
  <Template>Normal.dotm</Template>
  <Pages>27</Pages>
  <Words>6484</Words>
  <Characters>7263</Characters>
  <Lines>0</Lines>
  <Paragraphs>0</Paragraphs>
  <TotalTime>14</TotalTime>
  <ScaleCrop>false</ScaleCrop>
  <LinksUpToDate>false</LinksUpToDate>
  <CharactersWithSpaces>7276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