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特克斯县喀拉达拉镇寄宿制初级中学2024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157F05B">
      <w:r>
        <w:br w:type="page"/>
      </w:r>
    </w:p>
    <w:p w14:paraId="12CAA59A">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83F9B42">
      <w:pPr>
        <w:spacing w:line="640" w:lineRule="exact"/>
        <w:ind w:firstLine="640"/>
        <w:jc w:val="both"/>
        <w:outlineLvl w:val="2"/>
      </w:pPr>
      <w:r>
        <w:rPr>
          <w:rFonts w:ascii="黑体" w:hAnsi="黑体" w:eastAsia="黑体"/>
          <w:sz w:val="32"/>
        </w:rPr>
        <w:t>一、主要职能</w:t>
      </w:r>
    </w:p>
    <w:p w14:paraId="3DDA87E7">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宣传贯彻党的路线、方针、政策、坚持正确的办学方向。</w:t>
      </w:r>
    </w:p>
    <w:p w14:paraId="16F88252">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负责党的理论教育研讨工作，指导干部学习党的理论，培养合格的党员干部。</w:t>
      </w:r>
    </w:p>
    <w:p w14:paraId="2E18D5FF">
      <w:pPr>
        <w:spacing w:line="580" w:lineRule="exact"/>
        <w:ind w:firstLine="640"/>
        <w:jc w:val="both"/>
        <w:rPr>
          <w:spacing w:val="6"/>
          <w:sz w:val="32"/>
        </w:rPr>
      </w:pPr>
      <w:r>
        <w:rPr>
          <w:rFonts w:hint="eastAsia" w:ascii="仿宋_GB2312" w:hAnsi="仿宋_GB2312" w:eastAsia="仿宋_GB2312"/>
          <w:spacing w:val="6"/>
          <w:sz w:val="32"/>
          <w:lang w:eastAsia="zh-CN"/>
        </w:rPr>
        <w:t>3.</w:t>
      </w:r>
      <w:r>
        <w:rPr>
          <w:rFonts w:ascii="仿宋_GB2312" w:hAnsi="仿宋_GB2312" w:eastAsia="仿宋_GB2312"/>
          <w:spacing w:val="6"/>
          <w:sz w:val="32"/>
        </w:rPr>
        <w:t>编制学校教学计划，管理、协调教育活动，开展教学研究。</w:t>
      </w:r>
    </w:p>
    <w:p w14:paraId="532A20DC">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完成学校交办的其他工作。</w:t>
      </w:r>
    </w:p>
    <w:p w14:paraId="003AF042">
      <w:pPr>
        <w:spacing w:line="640" w:lineRule="exact"/>
        <w:ind w:firstLine="640"/>
        <w:jc w:val="both"/>
        <w:outlineLvl w:val="2"/>
      </w:pPr>
      <w:r>
        <w:rPr>
          <w:rFonts w:ascii="黑体" w:hAnsi="黑体" w:eastAsia="黑体"/>
          <w:sz w:val="32"/>
        </w:rPr>
        <w:t>二、机构设置及人员情况</w:t>
      </w:r>
    </w:p>
    <w:p w14:paraId="01BD98A7">
      <w:pPr>
        <w:spacing w:line="580" w:lineRule="exact"/>
        <w:ind w:firstLine="640"/>
        <w:jc w:val="both"/>
      </w:pPr>
      <w:r>
        <w:rPr>
          <w:rFonts w:ascii="仿宋_GB2312" w:hAnsi="仿宋_GB2312" w:eastAsia="仿宋_GB2312"/>
          <w:sz w:val="32"/>
        </w:rPr>
        <w:t>特克斯县喀拉达拉镇寄宿制初级中学2024年度，实有人数487人，其中：在职人员356人，减少38人；离休人员0人，增加0人；退休人员131人,增加8人。</w:t>
      </w:r>
    </w:p>
    <w:p w14:paraId="3E721B80">
      <w:pPr>
        <w:spacing w:line="580" w:lineRule="exact"/>
        <w:ind w:firstLine="640"/>
        <w:jc w:val="both"/>
      </w:pPr>
      <w:r>
        <w:rPr>
          <w:rFonts w:ascii="仿宋_GB2312" w:hAnsi="仿宋_GB2312" w:eastAsia="仿宋_GB2312"/>
          <w:sz w:val="32"/>
        </w:rPr>
        <w:t>特克斯县喀拉达拉镇寄宿制初级中学无下属预算</w:t>
      </w:r>
      <w:r>
        <w:rPr>
          <w:rFonts w:hint="eastAsia" w:ascii="仿宋_GB2312" w:hAnsi="仿宋_GB2312" w:eastAsia="仿宋_GB2312"/>
          <w:sz w:val="32"/>
          <w:lang w:eastAsia="zh-CN"/>
        </w:rPr>
        <w:t>单位</w:t>
      </w:r>
      <w:r>
        <w:rPr>
          <w:rFonts w:ascii="仿宋_GB2312" w:hAnsi="仿宋_GB2312" w:eastAsia="仿宋_GB2312"/>
          <w:sz w:val="32"/>
        </w:rPr>
        <w:t>，下设7个科室，分别是：办公室、教务处、教研室、党建办、总务处、德育处、工会。</w:t>
      </w:r>
    </w:p>
    <w:p w14:paraId="2465E80A">
      <w:r>
        <w:br w:type="page"/>
      </w:r>
    </w:p>
    <w:p w14:paraId="03007A8E">
      <w:pPr>
        <w:spacing w:line="240" w:lineRule="auto"/>
        <w:jc w:val="center"/>
        <w:outlineLvl w:val="1"/>
      </w:pPr>
      <w:r>
        <w:rPr>
          <w:rFonts w:ascii="黑体" w:hAnsi="黑体" w:eastAsia="黑体"/>
          <w:sz w:val="32"/>
        </w:rPr>
        <w:t>第二部分 部门决算情况说明</w:t>
      </w:r>
    </w:p>
    <w:p w14:paraId="6C34D132">
      <w:pPr>
        <w:spacing w:line="640" w:lineRule="exact"/>
        <w:ind w:firstLine="640"/>
        <w:jc w:val="both"/>
        <w:outlineLvl w:val="2"/>
      </w:pPr>
      <w:r>
        <w:rPr>
          <w:rFonts w:ascii="黑体" w:hAnsi="黑体" w:eastAsia="黑体"/>
          <w:sz w:val="32"/>
        </w:rPr>
        <w:t>一、收入支出决算总体情况说明</w:t>
      </w:r>
    </w:p>
    <w:p w14:paraId="2825CA8E">
      <w:pPr>
        <w:spacing w:line="580" w:lineRule="exact"/>
        <w:ind w:firstLine="640"/>
        <w:jc w:val="both"/>
      </w:pPr>
      <w:r>
        <w:rPr>
          <w:rFonts w:ascii="仿宋_GB2312" w:hAnsi="仿宋_GB2312" w:eastAsia="仿宋_GB2312"/>
          <w:b/>
          <w:sz w:val="32"/>
        </w:rPr>
        <w:t>2024年度收入总计6,905.40万元，</w:t>
      </w:r>
      <w:r>
        <w:rPr>
          <w:rFonts w:ascii="仿宋_GB2312" w:hAnsi="仿宋_GB2312" w:eastAsia="仿宋_GB2312"/>
          <w:b w:val="0"/>
          <w:sz w:val="32"/>
        </w:rPr>
        <w:t>其中：本年收入合计6,905.40万元，使用非财政拨款结余（含专用结余）0.00万元，年初结转和结余0.00万元。</w:t>
      </w:r>
    </w:p>
    <w:p w14:paraId="2FAE58FF">
      <w:pPr>
        <w:spacing w:line="580" w:lineRule="exact"/>
        <w:ind w:firstLine="640"/>
        <w:jc w:val="both"/>
      </w:pPr>
      <w:r>
        <w:rPr>
          <w:rFonts w:ascii="仿宋_GB2312" w:hAnsi="仿宋_GB2312" w:eastAsia="仿宋_GB2312"/>
          <w:b/>
          <w:sz w:val="32"/>
        </w:rPr>
        <w:t>2024年度支出总计6,905.40万元，</w:t>
      </w:r>
      <w:r>
        <w:rPr>
          <w:rFonts w:ascii="仿宋_GB2312" w:hAnsi="仿宋_GB2312" w:eastAsia="仿宋_GB2312"/>
          <w:b w:val="0"/>
          <w:sz w:val="32"/>
        </w:rPr>
        <w:t>其中：本年支出合计</w:t>
      </w:r>
      <w:r>
        <w:rPr>
          <w:rFonts w:ascii="仿宋_GB2312" w:hAnsi="仿宋_GB2312" w:eastAsia="仿宋_GB2312"/>
          <w:spacing w:val="6"/>
          <w:sz w:val="32"/>
        </w:rPr>
        <w:t>6,905.40万元，结余分配0.00万元，年末结转和结余0.00万元。</w:t>
      </w:r>
    </w:p>
    <w:p w14:paraId="15B2D535">
      <w:pPr>
        <w:spacing w:line="580" w:lineRule="exact"/>
        <w:ind w:firstLine="640"/>
        <w:jc w:val="both"/>
      </w:pPr>
      <w:r>
        <w:rPr>
          <w:rFonts w:ascii="仿宋_GB2312" w:hAnsi="仿宋_GB2312" w:eastAsia="仿宋_GB2312"/>
          <w:b w:val="0"/>
          <w:sz w:val="32"/>
        </w:rPr>
        <w:t>收入支出总体与上年相比，减少51.84万元，下降0.75%，</w:t>
      </w:r>
      <w:r>
        <w:rPr>
          <w:rFonts w:ascii="仿宋_GB2312" w:hAnsi="仿宋_GB2312" w:eastAsia="仿宋_GB2312"/>
          <w:spacing w:val="6"/>
          <w:sz w:val="32"/>
        </w:rPr>
        <w:t>主要原因是：本年在职人员减少38人，相关人员经费较上年减少。</w:t>
      </w:r>
    </w:p>
    <w:p w14:paraId="51DBECF6">
      <w:pPr>
        <w:spacing w:line="640" w:lineRule="exact"/>
        <w:ind w:firstLine="640"/>
        <w:jc w:val="both"/>
        <w:outlineLvl w:val="2"/>
      </w:pPr>
      <w:r>
        <w:rPr>
          <w:rFonts w:ascii="黑体" w:hAnsi="黑体" w:eastAsia="黑体"/>
          <w:sz w:val="32"/>
        </w:rPr>
        <w:t>二、收入决算情况说明</w:t>
      </w:r>
    </w:p>
    <w:p w14:paraId="31A64827">
      <w:pPr>
        <w:spacing w:line="580" w:lineRule="exact"/>
        <w:ind w:firstLine="640"/>
        <w:jc w:val="both"/>
      </w:pPr>
      <w:r>
        <w:rPr>
          <w:rFonts w:ascii="仿宋_GB2312" w:hAnsi="仿宋_GB2312" w:eastAsia="仿宋_GB2312"/>
          <w:b/>
          <w:sz w:val="32"/>
        </w:rPr>
        <w:t>本年收入6,905.40万元，</w:t>
      </w:r>
      <w:r>
        <w:rPr>
          <w:rFonts w:ascii="仿宋_GB2312" w:hAnsi="仿宋_GB2312" w:eastAsia="仿宋_GB2312"/>
          <w:b w:val="0"/>
          <w:sz w:val="32"/>
        </w:rPr>
        <w:t>其中：财政拨款收入6,791.71万元，占98.35%；上级补助收入0.00万元，占0.00%；事业收入0.00万元，占0.00%；经营收入0.00万元，占0.00%；附属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上缴收入0.00万元，占0.00%；其他收入113.69万元，占1.65%。</w:t>
      </w:r>
    </w:p>
    <w:p w14:paraId="3EBD017B">
      <w:pPr>
        <w:spacing w:line="640" w:lineRule="exact"/>
        <w:ind w:firstLine="640"/>
        <w:jc w:val="both"/>
        <w:outlineLvl w:val="2"/>
      </w:pPr>
      <w:r>
        <w:rPr>
          <w:rFonts w:ascii="黑体" w:hAnsi="黑体" w:eastAsia="黑体"/>
          <w:sz w:val="32"/>
        </w:rPr>
        <w:t>三、支出决算情况说明</w:t>
      </w:r>
    </w:p>
    <w:p w14:paraId="1683CE51">
      <w:pPr>
        <w:spacing w:line="580" w:lineRule="exact"/>
        <w:ind w:firstLine="640"/>
        <w:jc w:val="both"/>
      </w:pPr>
      <w:r>
        <w:rPr>
          <w:rFonts w:ascii="仿宋_GB2312" w:hAnsi="仿宋_GB2312" w:eastAsia="仿宋_GB2312"/>
          <w:b/>
          <w:sz w:val="32"/>
        </w:rPr>
        <w:t>本年支出6,905.40万元，</w:t>
      </w:r>
      <w:r>
        <w:rPr>
          <w:rFonts w:ascii="仿宋_GB2312" w:hAnsi="仿宋_GB2312" w:eastAsia="仿宋_GB2312"/>
          <w:b w:val="0"/>
          <w:sz w:val="32"/>
        </w:rPr>
        <w:t>其中：基本支出6,905.40万元，占100.00%；项目支出0.00万元，占0.00%；上缴上级支出0.00万元，占0.00%；经营支出0.00万元，占0.00%；对附属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7729FE02">
      <w:pPr>
        <w:spacing w:line="640" w:lineRule="exact"/>
        <w:ind w:firstLine="640"/>
        <w:jc w:val="both"/>
        <w:outlineLvl w:val="2"/>
      </w:pPr>
      <w:r>
        <w:rPr>
          <w:rFonts w:ascii="黑体" w:hAnsi="黑体" w:eastAsia="黑体"/>
          <w:sz w:val="32"/>
        </w:rPr>
        <w:t>四、财政拨款收入支出决算总体情况说明</w:t>
      </w:r>
    </w:p>
    <w:p w14:paraId="43E38D71">
      <w:pPr>
        <w:spacing w:line="580" w:lineRule="exact"/>
        <w:ind w:firstLine="640"/>
        <w:jc w:val="both"/>
      </w:pPr>
      <w:r>
        <w:rPr>
          <w:rFonts w:ascii="仿宋_GB2312" w:hAnsi="仿宋_GB2312" w:eastAsia="仿宋_GB2312"/>
          <w:b/>
          <w:sz w:val="32"/>
        </w:rPr>
        <w:t>2024年度财政拨款收入总计6,791.71万元，</w:t>
      </w:r>
      <w:r>
        <w:rPr>
          <w:rFonts w:ascii="仿宋_GB2312" w:hAnsi="仿宋_GB2312" w:eastAsia="仿宋_GB2312"/>
          <w:b w:val="0"/>
          <w:sz w:val="32"/>
        </w:rPr>
        <w:t>其中：年初财政拨款结转和结余0.00万元，本年财政拨款收入6,791.71万元。</w:t>
      </w:r>
      <w:r>
        <w:rPr>
          <w:rFonts w:ascii="仿宋_GB2312" w:hAnsi="仿宋_GB2312" w:eastAsia="仿宋_GB2312"/>
          <w:b/>
          <w:sz w:val="32"/>
        </w:rPr>
        <w:t>财政拨款支出总计6,791.71万元，</w:t>
      </w:r>
      <w:r>
        <w:rPr>
          <w:rFonts w:ascii="仿宋_GB2312" w:hAnsi="仿宋_GB2312" w:eastAsia="仿宋_GB2312"/>
          <w:b w:val="0"/>
          <w:sz w:val="32"/>
        </w:rPr>
        <w:t>其中：年末财政拨款结转和结余0.00万元，本年财政拨款支出6,791.71万元。</w:t>
      </w:r>
    </w:p>
    <w:p w14:paraId="5676F20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减少57.79万元，下降0.84%，主要原因是：本年在职人员减少38人，相关人员经费较上年减少。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年初预算数6,293.54万元，决算数6,791.71万元，预决算差异率7.92%，主要原因是：年中追加人员工资、社保、公积金基数调增部分资金，导致预决算存在差异。</w:t>
      </w:r>
    </w:p>
    <w:p w14:paraId="1D201D06">
      <w:pPr>
        <w:spacing w:line="640" w:lineRule="exact"/>
        <w:ind w:firstLine="640"/>
        <w:jc w:val="both"/>
        <w:outlineLvl w:val="2"/>
      </w:pPr>
      <w:r>
        <w:rPr>
          <w:rFonts w:ascii="黑体" w:hAnsi="黑体" w:eastAsia="黑体"/>
          <w:sz w:val="32"/>
        </w:rPr>
        <w:t>五、一般公共预算财政拨款支出决算情况说明</w:t>
      </w:r>
    </w:p>
    <w:p w14:paraId="05CE86D6">
      <w:pPr>
        <w:spacing w:line="640" w:lineRule="exact"/>
        <w:ind w:firstLine="640"/>
        <w:jc w:val="both"/>
        <w:outlineLvl w:val="3"/>
      </w:pPr>
      <w:r>
        <w:rPr>
          <w:rFonts w:ascii="楷体_GB2312" w:hAnsi="楷体_GB2312" w:eastAsia="楷体_GB2312"/>
          <w:b/>
          <w:sz w:val="32"/>
        </w:rPr>
        <w:t>（一）一般公共预算财政拨款支出决算总体情况</w:t>
      </w:r>
    </w:p>
    <w:p w14:paraId="17C490F1">
      <w:pPr>
        <w:spacing w:line="580" w:lineRule="exact"/>
        <w:ind w:firstLine="640"/>
        <w:jc w:val="both"/>
      </w:pPr>
      <w:r>
        <w:rPr>
          <w:rFonts w:ascii="仿宋_GB2312" w:hAnsi="仿宋_GB2312" w:eastAsia="仿宋_GB2312"/>
          <w:b/>
          <w:sz w:val="32"/>
        </w:rPr>
        <w:t>2024年度一般公共预算财政拨款支出6,791.71万元，</w:t>
      </w:r>
      <w:r>
        <w:rPr>
          <w:rFonts w:ascii="仿宋_GB2312" w:hAnsi="仿宋_GB2312" w:eastAsia="仿宋_GB2312"/>
          <w:b w:val="0"/>
          <w:sz w:val="32"/>
        </w:rPr>
        <w:t>占本年支出合计的98.35%。</w:t>
      </w:r>
      <w:r>
        <w:rPr>
          <w:rFonts w:ascii="仿宋_GB2312" w:hAnsi="仿宋_GB2312" w:eastAsia="仿宋_GB2312"/>
          <w:b/>
          <w:sz w:val="32"/>
        </w:rPr>
        <w:t>与上年相比，</w:t>
      </w:r>
      <w:r>
        <w:rPr>
          <w:rFonts w:ascii="仿宋_GB2312" w:hAnsi="仿宋_GB2312" w:eastAsia="仿宋_GB2312"/>
          <w:b w:val="0"/>
          <w:sz w:val="32"/>
        </w:rPr>
        <w:t>减少57.79万元，下降0.84%，主要原因是：本年在职人员减少38人，相关人员经费较上年减少。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年初预算数6,293.54万元，决算数6,791.71万元，预决算差异率7.92%，主要原因是：年中追加人员工资、社保、公积金基数调增部分资金，导致预决算存在差异。</w:t>
      </w:r>
    </w:p>
    <w:p w14:paraId="198F0921">
      <w:pPr>
        <w:spacing w:line="640" w:lineRule="exact"/>
        <w:ind w:firstLine="640"/>
        <w:jc w:val="both"/>
        <w:outlineLvl w:val="3"/>
      </w:pPr>
      <w:r>
        <w:rPr>
          <w:rFonts w:ascii="楷体_GB2312" w:hAnsi="楷体_GB2312" w:eastAsia="楷体_GB2312"/>
          <w:b/>
          <w:sz w:val="32"/>
        </w:rPr>
        <w:t>（二）一般公共预算财政拨款支出决算结构情况</w:t>
      </w:r>
    </w:p>
    <w:p w14:paraId="7EC1EE72">
      <w:pPr>
        <w:spacing w:line="580" w:lineRule="exact"/>
        <w:ind w:firstLine="640"/>
        <w:jc w:val="both"/>
      </w:pPr>
      <w:r>
        <w:rPr>
          <w:rFonts w:ascii="仿宋_GB2312" w:hAnsi="仿宋_GB2312" w:eastAsia="仿宋_GB2312"/>
          <w:b w:val="0"/>
          <w:sz w:val="32"/>
        </w:rPr>
        <w:t>1.教育支出(类)5,743.79万元,占84.57%。</w:t>
      </w:r>
    </w:p>
    <w:p w14:paraId="1D111916">
      <w:pPr>
        <w:spacing w:line="580" w:lineRule="exact"/>
        <w:ind w:firstLine="640"/>
        <w:jc w:val="both"/>
      </w:pPr>
      <w:r>
        <w:rPr>
          <w:rFonts w:ascii="仿宋_GB2312" w:hAnsi="仿宋_GB2312" w:eastAsia="仿宋_GB2312"/>
          <w:b w:val="0"/>
          <w:sz w:val="32"/>
        </w:rPr>
        <w:t>2.社会保障和就业支出(类)511.20万元,占7.53%。</w:t>
      </w:r>
    </w:p>
    <w:p w14:paraId="71B6E845">
      <w:pPr>
        <w:spacing w:line="580" w:lineRule="exact"/>
        <w:ind w:firstLine="640"/>
        <w:jc w:val="both"/>
      </w:pPr>
      <w:r>
        <w:rPr>
          <w:rFonts w:ascii="仿宋_GB2312" w:hAnsi="仿宋_GB2312" w:eastAsia="仿宋_GB2312"/>
          <w:b w:val="0"/>
          <w:sz w:val="32"/>
        </w:rPr>
        <w:t>3.卫生健康支出(类)61.71万元,占0.91%。</w:t>
      </w:r>
    </w:p>
    <w:p w14:paraId="05672F51">
      <w:pPr>
        <w:spacing w:line="580" w:lineRule="exact"/>
        <w:ind w:firstLine="640"/>
        <w:jc w:val="both"/>
      </w:pPr>
      <w:r>
        <w:rPr>
          <w:rFonts w:ascii="仿宋_GB2312" w:hAnsi="仿宋_GB2312" w:eastAsia="仿宋_GB2312"/>
          <w:b w:val="0"/>
          <w:sz w:val="32"/>
        </w:rPr>
        <w:t>4.住房保障支出(类)475.01万元,占6.99%。</w:t>
      </w:r>
    </w:p>
    <w:p w14:paraId="3AF65624">
      <w:pPr>
        <w:spacing w:line="640" w:lineRule="exact"/>
        <w:ind w:firstLine="640"/>
        <w:jc w:val="both"/>
        <w:outlineLvl w:val="3"/>
      </w:pPr>
      <w:r>
        <w:rPr>
          <w:rFonts w:ascii="楷体_GB2312" w:hAnsi="楷体_GB2312" w:eastAsia="楷体_GB2312"/>
          <w:b/>
          <w:sz w:val="32"/>
        </w:rPr>
        <w:t>（三）一般公共预算财政拨款支出决算具体情况</w:t>
      </w:r>
    </w:p>
    <w:p w14:paraId="38A09E0E">
      <w:pPr>
        <w:spacing w:line="580" w:lineRule="exact"/>
        <w:ind w:firstLine="640"/>
        <w:jc w:val="both"/>
      </w:pPr>
      <w:r>
        <w:rPr>
          <w:rFonts w:ascii="仿宋_GB2312" w:hAnsi="仿宋_GB2312" w:eastAsia="仿宋_GB2312"/>
          <w:b w:val="0"/>
          <w:sz w:val="32"/>
        </w:rPr>
        <w:t>1.教育支出(类)普通教育(款)学前教育(项):支出决算数为1,055.06万元，比上年决算增加161.05万元，增长18.01%,主要原因是：学前教师人员基本工资调标增资，补发2024年7</w:t>
      </w:r>
      <w:r>
        <w:rPr>
          <w:rFonts w:hint="eastAsia" w:ascii="仿宋_GB2312" w:hAnsi="仿宋_GB2312" w:eastAsia="仿宋_GB2312"/>
          <w:b w:val="0"/>
          <w:sz w:val="32"/>
          <w:lang w:eastAsia="zh-CN"/>
        </w:rPr>
        <w:t>—</w:t>
      </w:r>
      <w:r>
        <w:rPr>
          <w:rFonts w:ascii="仿宋_GB2312" w:hAnsi="仿宋_GB2312" w:eastAsia="仿宋_GB2312"/>
          <w:b w:val="0"/>
          <w:sz w:val="32"/>
        </w:rPr>
        <w:t>12月基本工资调标增资。</w:t>
      </w:r>
    </w:p>
    <w:p w14:paraId="368CA252">
      <w:pPr>
        <w:spacing w:line="580" w:lineRule="exact"/>
        <w:ind w:firstLine="640"/>
        <w:jc w:val="both"/>
      </w:pPr>
      <w:r>
        <w:rPr>
          <w:rFonts w:ascii="仿宋_GB2312" w:hAnsi="仿宋_GB2312" w:eastAsia="仿宋_GB2312"/>
          <w:b w:val="0"/>
          <w:sz w:val="32"/>
        </w:rPr>
        <w:t>2.教育支出(类)普通教育(款)小学教育(项):支出决算数为2,713.58万元，比上年决算减少381.96万元，下降12.34%,主要原因是：本年在职人员减少38人，相关人员经费较上年减少。</w:t>
      </w:r>
    </w:p>
    <w:p w14:paraId="050768C9">
      <w:pPr>
        <w:spacing w:line="580" w:lineRule="exact"/>
        <w:ind w:firstLine="640"/>
        <w:jc w:val="both"/>
      </w:pPr>
      <w:r>
        <w:rPr>
          <w:rFonts w:ascii="仿宋_GB2312" w:hAnsi="仿宋_GB2312" w:eastAsia="仿宋_GB2312"/>
          <w:b w:val="0"/>
          <w:sz w:val="32"/>
        </w:rPr>
        <w:t>3.教育支出(类)普通教育(款)初中教育(项):支出决算数为1,975.15万元，比上年决算增加42.84万元，增长2.22%,主要原因是：初中教师人员基本工资调标增资，补发2024年7</w:t>
      </w:r>
      <w:r>
        <w:rPr>
          <w:rFonts w:hint="eastAsia" w:ascii="仿宋_GB2312" w:hAnsi="仿宋_GB2312" w:eastAsia="仿宋_GB2312"/>
          <w:b w:val="0"/>
          <w:sz w:val="32"/>
          <w:lang w:eastAsia="zh-CN"/>
        </w:rPr>
        <w:t>—</w:t>
      </w:r>
      <w:r>
        <w:rPr>
          <w:rFonts w:ascii="仿宋_GB2312" w:hAnsi="仿宋_GB2312" w:eastAsia="仿宋_GB2312"/>
          <w:b w:val="0"/>
          <w:sz w:val="32"/>
        </w:rPr>
        <w:t>12月基本工资调标增资。</w:t>
      </w:r>
    </w:p>
    <w:p w14:paraId="20FAFA3B">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基本养老保险缴费支出(项):支出决算数为410.30万元，比上年决算减少62.81万元，下降13.28%,主要原因是：本年在职人员减少38人，机关事业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基本养老保险缴费支出减少。</w:t>
      </w:r>
    </w:p>
    <w:p w14:paraId="7C6062EC">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职业年金缴费支出(项):支出决算数为85.31万元，比上年决算增加35.54万元，增长71.41%,主要原因是：本年新增退休人员增加，职业年金缴费支出增加。</w:t>
      </w:r>
    </w:p>
    <w:p w14:paraId="0DC44549">
      <w:pPr>
        <w:spacing w:line="580" w:lineRule="exact"/>
        <w:ind w:firstLine="640"/>
        <w:jc w:val="both"/>
      </w:pPr>
      <w:r>
        <w:rPr>
          <w:rFonts w:ascii="仿宋_GB2312" w:hAnsi="仿宋_GB2312" w:eastAsia="仿宋_GB2312"/>
          <w:b w:val="0"/>
          <w:sz w:val="32"/>
        </w:rPr>
        <w:t>6.社会保障和就业支出(类)抚恤(款)死亡抚恤(项):支出决算数为15.59万元，比上年决算减少13.67万元，下降46.72%,主要原因是：本年新增死亡人员较上年减少，死亡抚恤支出较上年减少。</w:t>
      </w:r>
    </w:p>
    <w:p w14:paraId="353F7C0B">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医疗(项):支出决算数为60.64万元，比上年决算增加60.64万元，增长100.00%,主要原因是：本年功能科目调整，事业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3FA98261">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医疗支出(项):支出决算数为1.07万元，比上年决算增加1.07万元，增长100.00%,主要原因是：本年功能科目调整，其他行政事业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742AABA8">
      <w:pPr>
        <w:spacing w:line="580" w:lineRule="exact"/>
        <w:ind w:firstLine="640"/>
        <w:jc w:val="both"/>
      </w:pPr>
      <w:r>
        <w:rPr>
          <w:rFonts w:ascii="仿宋_GB2312" w:hAnsi="仿宋_GB2312" w:eastAsia="仿宋_GB2312"/>
          <w:b w:val="0"/>
          <w:sz w:val="32"/>
        </w:rPr>
        <w:t>9.住房保障支出(类)住房改革支出(款)住房公积金(项):支出决算数为475.01万元，比上年决算增加99.51万元，增长26.50%,主要原因是：本年功能科目调整，部分住房公积金上年度在主科目列支，本年全部在此科目列支，导致经费较上年增加。</w:t>
      </w:r>
    </w:p>
    <w:p w14:paraId="4114AAFC">
      <w:pPr>
        <w:spacing w:line="640" w:lineRule="exact"/>
        <w:ind w:firstLine="640"/>
        <w:jc w:val="both"/>
        <w:outlineLvl w:val="2"/>
      </w:pPr>
      <w:r>
        <w:rPr>
          <w:rFonts w:ascii="黑体" w:hAnsi="黑体" w:eastAsia="黑体"/>
          <w:sz w:val="32"/>
        </w:rPr>
        <w:t>六、一般公共预算财政拨款基本支出决算情况说明</w:t>
      </w:r>
    </w:p>
    <w:p w14:paraId="0181F2DB">
      <w:pPr>
        <w:spacing w:line="580" w:lineRule="exact"/>
        <w:ind w:firstLine="640"/>
        <w:jc w:val="both"/>
      </w:pPr>
      <w:r>
        <w:rPr>
          <w:rFonts w:ascii="仿宋_GB2312" w:hAnsi="仿宋_GB2312" w:eastAsia="仿宋_GB2312"/>
          <w:b w:val="0"/>
          <w:sz w:val="32"/>
        </w:rPr>
        <w:t>2024年度一般公共预算财政拨款基本支出6,791.71万元，其中：</w:t>
      </w:r>
      <w:r>
        <w:rPr>
          <w:rFonts w:ascii="仿宋_GB2312" w:hAnsi="仿宋_GB2312" w:eastAsia="仿宋_GB2312"/>
          <w:b/>
          <w:sz w:val="32"/>
        </w:rPr>
        <w:t>人员经费6,462.69万元，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基本养老保险缴费、职业年金缴费、职工基本医疗保险缴费、其他社会保障缴费、住房公积金、退休费、抚恤金、生活补助、助学金。</w:t>
      </w:r>
    </w:p>
    <w:p w14:paraId="3FC2B34D">
      <w:pPr>
        <w:spacing w:line="580" w:lineRule="exact"/>
        <w:ind w:firstLine="640"/>
        <w:jc w:val="both"/>
      </w:pPr>
      <w:r>
        <w:rPr>
          <w:rFonts w:ascii="仿宋_GB2312" w:hAnsi="仿宋_GB2312" w:eastAsia="仿宋_GB2312"/>
          <w:b/>
          <w:sz w:val="32"/>
        </w:rPr>
        <w:t>公用经费329.02万元，</w:t>
      </w:r>
      <w:r>
        <w:rPr>
          <w:rFonts w:ascii="仿宋_GB2312" w:hAnsi="仿宋_GB2312" w:eastAsia="仿宋_GB2312"/>
          <w:b w:val="0"/>
          <w:sz w:val="32"/>
        </w:rPr>
        <w:t>包括：办公费、印刷费、水费、电费、邮电费、取暖费、物业管理费、维修（护）费、培训费、专用燃料费、工会经费、其他交通费用、其他商品和服务支出。</w:t>
      </w:r>
    </w:p>
    <w:p w14:paraId="77261910">
      <w:pPr>
        <w:spacing w:line="640" w:lineRule="exact"/>
        <w:ind w:firstLine="640"/>
        <w:jc w:val="both"/>
        <w:outlineLvl w:val="2"/>
      </w:pPr>
      <w:r>
        <w:rPr>
          <w:rFonts w:ascii="黑体" w:hAnsi="黑体" w:eastAsia="黑体"/>
          <w:sz w:val="32"/>
        </w:rPr>
        <w:t>七、政府性基金预算财政拨款收入支出决算情况说明</w:t>
      </w:r>
    </w:p>
    <w:p w14:paraId="1CD9300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12AEAAAF">
      <w:pPr>
        <w:spacing w:line="640" w:lineRule="exact"/>
        <w:ind w:firstLine="640"/>
        <w:jc w:val="both"/>
        <w:outlineLvl w:val="2"/>
      </w:pPr>
      <w:r>
        <w:rPr>
          <w:rFonts w:ascii="黑体" w:hAnsi="黑体" w:eastAsia="黑体"/>
          <w:sz w:val="32"/>
        </w:rPr>
        <w:t>八、国有资本经营预算财政拨款收入支出决算情况说明</w:t>
      </w:r>
    </w:p>
    <w:p w14:paraId="62EBF175">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C9751DD">
      <w:pPr>
        <w:spacing w:line="640" w:lineRule="exact"/>
        <w:ind w:firstLine="640"/>
        <w:jc w:val="both"/>
        <w:outlineLvl w:val="2"/>
      </w:pPr>
      <w:r>
        <w:rPr>
          <w:rFonts w:ascii="黑体" w:hAnsi="黑体" w:eastAsia="黑体"/>
          <w:sz w:val="32"/>
        </w:rPr>
        <w:t>九、财政拨款“三公”经费支出决算情况说明</w:t>
      </w:r>
    </w:p>
    <w:p w14:paraId="471FF00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9BD17FB">
      <w:pPr>
        <w:spacing w:line="580" w:lineRule="exact"/>
        <w:ind w:firstLine="640"/>
        <w:jc w:val="both"/>
      </w:pPr>
      <w:r>
        <w:rPr>
          <w:rFonts w:ascii="仿宋_GB2312" w:hAnsi="仿宋_GB2312" w:eastAsia="仿宋_GB2312"/>
          <w:b/>
          <w:sz w:val="32"/>
        </w:rPr>
        <w:t>具体情况如下：</w:t>
      </w:r>
    </w:p>
    <w:p w14:paraId="334674DE">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198E855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w:t>
      </w:r>
      <w:r>
        <w:rPr>
          <w:rFonts w:ascii="仿宋_GB2312" w:hAnsi="仿宋_GB2312" w:eastAsia="仿宋_GB2312"/>
          <w:spacing w:val="6"/>
          <w:sz w:val="32"/>
        </w:rPr>
        <w:t>车辆0辆，与公务用车保有量差异原因是：本</w:t>
      </w:r>
      <w:r>
        <w:rPr>
          <w:rFonts w:hint="eastAsia" w:ascii="仿宋_GB2312" w:hAnsi="仿宋_GB2312" w:eastAsia="仿宋_GB2312"/>
          <w:spacing w:val="6"/>
          <w:sz w:val="32"/>
          <w:lang w:eastAsia="zh-CN"/>
        </w:rPr>
        <w:t>单位</w:t>
      </w:r>
      <w:r>
        <w:rPr>
          <w:rFonts w:ascii="仿宋_GB2312" w:hAnsi="仿宋_GB2312" w:eastAsia="仿宋_GB2312"/>
          <w:spacing w:val="6"/>
          <w:sz w:val="32"/>
        </w:rPr>
        <w:t>无固定资产车辆。</w:t>
      </w:r>
    </w:p>
    <w:p w14:paraId="47819AA6">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4FF81EE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FF26709">
      <w:pPr>
        <w:spacing w:line="640" w:lineRule="exact"/>
        <w:ind w:firstLine="640"/>
        <w:jc w:val="both"/>
        <w:outlineLvl w:val="2"/>
      </w:pPr>
      <w:r>
        <w:rPr>
          <w:rFonts w:ascii="黑体" w:hAnsi="黑体" w:eastAsia="黑体"/>
          <w:sz w:val="32"/>
        </w:rPr>
        <w:t>十、其他重要事项的情况说明</w:t>
      </w:r>
    </w:p>
    <w:p w14:paraId="15F9DFFB">
      <w:pPr>
        <w:spacing w:line="640" w:lineRule="exact"/>
        <w:ind w:firstLine="640"/>
        <w:jc w:val="both"/>
        <w:outlineLvl w:val="3"/>
      </w:pPr>
      <w:r>
        <w:rPr>
          <w:rFonts w:ascii="楷体_GB2312" w:hAnsi="楷体_GB2312" w:eastAsia="楷体_GB2312"/>
          <w:b/>
          <w:sz w:val="32"/>
        </w:rPr>
        <w:t>（一）机关运行经费及公用经费支出情况</w:t>
      </w:r>
    </w:p>
    <w:p w14:paraId="028B6CF4">
      <w:pPr>
        <w:spacing w:line="580" w:lineRule="exact"/>
        <w:ind w:firstLine="640"/>
        <w:jc w:val="both"/>
      </w:pPr>
      <w:r>
        <w:rPr>
          <w:rFonts w:ascii="仿宋_GB2312" w:hAnsi="仿宋_GB2312" w:eastAsia="仿宋_GB2312"/>
          <w:b w:val="0"/>
          <w:sz w:val="32"/>
        </w:rPr>
        <w:t>2024年度特克斯县喀拉达拉镇寄宿制初级中学（事业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）公用经费支出329.02万元，比上年减少183.45万元，下降35.80%，主要原因是：本年学生人数减少，公用经费支出减少。</w:t>
      </w:r>
    </w:p>
    <w:p w14:paraId="6062F655">
      <w:pPr>
        <w:spacing w:line="640" w:lineRule="exact"/>
        <w:ind w:firstLine="640"/>
        <w:jc w:val="both"/>
        <w:outlineLvl w:val="3"/>
      </w:pPr>
      <w:r>
        <w:rPr>
          <w:rFonts w:ascii="楷体_GB2312" w:hAnsi="楷体_GB2312" w:eastAsia="楷体_GB2312"/>
          <w:b/>
          <w:sz w:val="32"/>
        </w:rPr>
        <w:t>（二）政府采购情况</w:t>
      </w:r>
    </w:p>
    <w:p w14:paraId="0AD0D663">
      <w:pPr>
        <w:spacing w:line="580" w:lineRule="exact"/>
        <w:ind w:firstLine="640"/>
        <w:jc w:val="both"/>
      </w:pPr>
      <w:r>
        <w:rPr>
          <w:rFonts w:ascii="仿宋_GB2312" w:hAnsi="仿宋_GB2312" w:eastAsia="仿宋_GB2312"/>
          <w:b w:val="0"/>
          <w:sz w:val="32"/>
        </w:rPr>
        <w:t>2024年度政府采购支出总额3.44万元，其中：政府采购货物支出2.74万元、政府采购工程支出0.00万元、政府采购服务支出0.70万元。</w:t>
      </w:r>
    </w:p>
    <w:p w14:paraId="46266D53">
      <w:pPr>
        <w:spacing w:line="580" w:lineRule="exact"/>
        <w:ind w:firstLine="640"/>
        <w:jc w:val="both"/>
      </w:pPr>
      <w:r>
        <w:rPr>
          <w:rFonts w:ascii="仿宋_GB2312" w:hAnsi="仿宋_GB2312" w:eastAsia="仿宋_GB2312"/>
          <w:b w:val="0"/>
          <w:sz w:val="32"/>
        </w:rPr>
        <w:t>授予中小企业合同金额3.44万元，占政府采购支出总额的100.00%，其中：授予小微企业合同金额3.44万元，占政府采购支出总额的100.00%。</w:t>
      </w:r>
    </w:p>
    <w:p w14:paraId="5AC86B6D">
      <w:pPr>
        <w:spacing w:line="640" w:lineRule="exact"/>
        <w:ind w:firstLine="640"/>
        <w:jc w:val="both"/>
        <w:outlineLvl w:val="3"/>
      </w:pPr>
      <w:r>
        <w:rPr>
          <w:rFonts w:ascii="楷体_GB2312" w:hAnsi="楷体_GB2312" w:eastAsia="楷体_GB2312"/>
          <w:b/>
          <w:sz w:val="32"/>
        </w:rPr>
        <w:t>（三）国有资产占用情况说明</w:t>
      </w:r>
    </w:p>
    <w:p w14:paraId="43E4136B">
      <w:pPr>
        <w:spacing w:line="580" w:lineRule="exact"/>
        <w:ind w:firstLine="640"/>
        <w:jc w:val="both"/>
      </w:pPr>
      <w:r>
        <w:rPr>
          <w:rFonts w:ascii="仿宋_GB2312" w:hAnsi="仿宋_GB2312" w:eastAsia="仿宋_GB2312"/>
          <w:b w:val="0"/>
          <w:sz w:val="32"/>
        </w:rPr>
        <w:t>截至2024年12月31日，房屋27,808.67平方米，价值2,164.45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2EB108E7">
      <w:pPr>
        <w:spacing w:line="640" w:lineRule="exact"/>
        <w:ind w:firstLine="640"/>
        <w:jc w:val="both"/>
        <w:outlineLvl w:val="2"/>
      </w:pPr>
      <w:r>
        <w:rPr>
          <w:rFonts w:ascii="黑体" w:hAnsi="黑体" w:eastAsia="黑体"/>
          <w:sz w:val="32"/>
        </w:rPr>
        <w:t>十一、预算绩效的情况说明</w:t>
      </w:r>
    </w:p>
    <w:p w14:paraId="1A38329D">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2024年度预算绩效管理形成整体支出绩效自评表1个，全年预算总额6,905.40万元，实际执行总额6,905.40万元；预算绩效评价项目0个，全年预算数0.00万元，全年执行数0.00万元。预算绩效管理取得的成效：本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无绩效自评项目。发现的问题及原因：本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无绩效自评项目。下一步改进措施：本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无绩效自评项目。具体附整体支出绩效自评表。</w:t>
      </w:r>
    </w:p>
    <w:p w14:paraId="0CA5F9F6">
      <w:r>
        <w:br w:type="page"/>
      </w:r>
    </w:p>
    <w:tbl>
      <w:tblPr>
        <w:tblStyle w:val="9"/>
        <w:tblW w:w="0" w:type="auto"/>
        <w:tblInd w:w="0" w:type="dxa"/>
        <w:tblLayout w:type="autofit"/>
        <w:tblCellMar>
          <w:top w:w="0" w:type="dxa"/>
          <w:left w:w="108" w:type="dxa"/>
          <w:bottom w:w="0" w:type="dxa"/>
          <w:right w:w="108" w:type="dxa"/>
        </w:tblCellMar>
      </w:tblPr>
      <w:tblGrid>
        <w:gridCol w:w="1105"/>
        <w:gridCol w:w="919"/>
        <w:gridCol w:w="186"/>
        <w:gridCol w:w="1105"/>
        <w:gridCol w:w="1105"/>
        <w:gridCol w:w="1105"/>
        <w:gridCol w:w="1105"/>
        <w:gridCol w:w="1105"/>
        <w:gridCol w:w="1105"/>
      </w:tblGrid>
      <w:tr w14:paraId="17F0EF1A">
        <w:tblPrEx>
          <w:tblCellMar>
            <w:top w:w="0" w:type="dxa"/>
            <w:left w:w="108" w:type="dxa"/>
            <w:bottom w:w="0" w:type="dxa"/>
            <w:right w:w="108" w:type="dxa"/>
          </w:tblCellMar>
        </w:tblPrEx>
        <w:tc>
          <w:tcPr>
            <w:tcW w:w="8840" w:type="dxa"/>
            <w:gridSpan w:val="9"/>
            <w:vAlign w:val="center"/>
          </w:tcPr>
          <w:p w14:paraId="0F804D9C">
            <w:pPr>
              <w:jc w:val="center"/>
            </w:pPr>
            <w:r>
              <w:rPr>
                <w:rFonts w:hint="eastAsia" w:ascii="宋体" w:hAnsi="宋体"/>
                <w:sz w:val="24"/>
                <w:lang w:eastAsia="zh-CN"/>
              </w:rPr>
              <w:t>单位</w:t>
            </w:r>
            <w:r>
              <w:rPr>
                <w:rFonts w:ascii="宋体" w:hAnsi="宋体" w:eastAsia="宋体"/>
                <w:sz w:val="24"/>
              </w:rPr>
              <w:t>整体支出绩效自评表</w:t>
            </w:r>
          </w:p>
        </w:tc>
      </w:tr>
      <w:tr w14:paraId="3296A69D">
        <w:tblPrEx>
          <w:tblCellMar>
            <w:top w:w="0" w:type="dxa"/>
            <w:left w:w="108" w:type="dxa"/>
            <w:bottom w:w="0" w:type="dxa"/>
            <w:right w:w="108" w:type="dxa"/>
          </w:tblCellMar>
        </w:tblPrEx>
        <w:tc>
          <w:tcPr>
            <w:tcW w:w="8840" w:type="dxa"/>
            <w:gridSpan w:val="9"/>
            <w:vAlign w:val="center"/>
          </w:tcPr>
          <w:p w14:paraId="532211A3">
            <w:pPr>
              <w:jc w:val="center"/>
            </w:pPr>
            <w:r>
              <w:rPr>
                <w:rFonts w:ascii="宋体" w:hAnsi="宋体" w:eastAsia="宋体"/>
                <w:sz w:val="24"/>
              </w:rPr>
              <w:t>（2024年度）</w:t>
            </w:r>
          </w:p>
        </w:tc>
      </w:tr>
      <w:tr w14:paraId="6368BF8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45F723">
            <w:pPr>
              <w:jc w:val="center"/>
            </w:pPr>
            <w:r>
              <w:rPr>
                <w:rFonts w:hint="eastAsia" w:ascii="宋体" w:hAnsi="宋体"/>
                <w:sz w:val="16"/>
                <w:lang w:eastAsia="zh-CN"/>
              </w:rPr>
              <w:t>单位</w:t>
            </w:r>
            <w:r>
              <w:rPr>
                <w:rFonts w:ascii="宋体" w:hAnsi="宋体" w:eastAsia="宋体"/>
                <w:sz w:val="16"/>
              </w:rPr>
              <w:t>名称</w:t>
            </w:r>
          </w:p>
        </w:tc>
        <w:tc>
          <w:tcPr>
            <w:tcW w:w="773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1E16FD">
            <w:pPr>
              <w:jc w:val="center"/>
            </w:pPr>
            <w:r>
              <w:rPr>
                <w:rFonts w:ascii="宋体" w:hAnsi="宋体" w:eastAsia="宋体"/>
                <w:sz w:val="16"/>
              </w:rPr>
              <w:t>特克斯县喀拉达拉镇寄宿制初级中学</w:t>
            </w:r>
          </w:p>
        </w:tc>
      </w:tr>
      <w:tr w14:paraId="1EE0E84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6555A">
            <w:pPr>
              <w:jc w:val="center"/>
            </w:pPr>
            <w:r>
              <w:rPr>
                <w:rFonts w:ascii="宋体" w:hAnsi="宋体" w:eastAsia="宋体"/>
                <w:sz w:val="16"/>
              </w:rPr>
              <w:t>部门资金（万元）</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9B3D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B2096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2C5A9">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B7A93C">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E7B50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CE683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D66BD">
            <w:pPr>
              <w:jc w:val="center"/>
            </w:pPr>
            <w:r>
              <w:rPr>
                <w:rFonts w:ascii="宋体" w:hAnsi="宋体" w:eastAsia="宋体"/>
                <w:sz w:val="16"/>
              </w:rPr>
              <w:t>得分</w:t>
            </w:r>
          </w:p>
        </w:tc>
      </w:tr>
      <w:tr w14:paraId="615BD9C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A785DC"/>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5022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122D61">
            <w:pPr>
              <w:jc w:val="center"/>
            </w:pPr>
            <w:r>
              <w:rPr>
                <w:rFonts w:ascii="宋体" w:hAnsi="宋体" w:eastAsia="宋体"/>
                <w:sz w:val="16"/>
              </w:rPr>
              <w:t>6,249.54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20AF88">
            <w:pPr>
              <w:jc w:val="center"/>
            </w:pPr>
            <w:r>
              <w:rPr>
                <w:rFonts w:ascii="宋体" w:hAnsi="宋体" w:eastAsia="宋体"/>
                <w:sz w:val="16"/>
              </w:rPr>
              <w:t>6,905.40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B2CEAF">
            <w:pPr>
              <w:jc w:val="center"/>
            </w:pPr>
            <w:r>
              <w:rPr>
                <w:rFonts w:ascii="宋体" w:hAnsi="宋体" w:eastAsia="宋体"/>
                <w:sz w:val="16"/>
              </w:rPr>
              <w:t>6,905.40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6D5CE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218B4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4204D0">
            <w:pPr>
              <w:jc w:val="center"/>
            </w:pPr>
            <w:r>
              <w:rPr>
                <w:rFonts w:ascii="宋体" w:hAnsi="宋体" w:eastAsia="宋体"/>
                <w:sz w:val="16"/>
              </w:rPr>
              <w:t>10</w:t>
            </w:r>
          </w:p>
        </w:tc>
      </w:tr>
      <w:tr w14:paraId="179B3AF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AD1B7F"/>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0F585">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848D4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A1A2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C58A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02E70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260E0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3356A">
            <w:pPr>
              <w:jc w:val="center"/>
            </w:pPr>
            <w:r>
              <w:rPr>
                <w:rFonts w:ascii="宋体" w:hAnsi="宋体" w:eastAsia="宋体"/>
                <w:sz w:val="16"/>
              </w:rPr>
              <w:t>-</w:t>
            </w:r>
          </w:p>
        </w:tc>
      </w:tr>
      <w:tr w14:paraId="6976F7A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B25597"/>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6EAA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E06C8C">
            <w:pPr>
              <w:jc w:val="center"/>
            </w:pPr>
            <w:r>
              <w:rPr>
                <w:rFonts w:ascii="宋体" w:hAnsi="宋体" w:eastAsia="宋体"/>
                <w:sz w:val="16"/>
              </w:rPr>
              <w:t>6,249.54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8C4898">
            <w:pPr>
              <w:jc w:val="center"/>
            </w:pPr>
            <w:r>
              <w:rPr>
                <w:rFonts w:ascii="宋体" w:hAnsi="宋体" w:eastAsia="宋体"/>
                <w:sz w:val="16"/>
              </w:rPr>
              <w:t>6,905.40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82A287">
            <w:pPr>
              <w:jc w:val="center"/>
            </w:pPr>
            <w:r>
              <w:rPr>
                <w:rFonts w:ascii="宋体" w:hAnsi="宋体" w:eastAsia="宋体"/>
                <w:sz w:val="16"/>
              </w:rPr>
              <w:t>6,905.40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9F29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0A8C4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DC1B13">
            <w:pPr>
              <w:jc w:val="center"/>
            </w:pPr>
            <w:r>
              <w:rPr>
                <w:rFonts w:ascii="宋体" w:hAnsi="宋体" w:eastAsia="宋体"/>
                <w:sz w:val="16"/>
              </w:rPr>
              <w:t>-</w:t>
            </w:r>
          </w:p>
        </w:tc>
      </w:tr>
      <w:tr w14:paraId="2AD98DD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8E1583"/>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9C94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EBBD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6098F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834E5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D9D6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4AE4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F4CB84">
            <w:pPr>
              <w:jc w:val="center"/>
            </w:pPr>
            <w:r>
              <w:rPr>
                <w:rFonts w:ascii="宋体" w:hAnsi="宋体" w:eastAsia="宋体"/>
                <w:sz w:val="16"/>
              </w:rPr>
              <w:t>-</w:t>
            </w:r>
          </w:p>
        </w:tc>
      </w:tr>
      <w:tr w14:paraId="2F3BB66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4F63E">
            <w:pPr>
              <w:jc w:val="center"/>
            </w:pPr>
            <w:r>
              <w:rPr>
                <w:rFonts w:ascii="宋体" w:hAnsi="宋体" w:eastAsia="宋体"/>
                <w:sz w:val="16"/>
              </w:rPr>
              <w:t>年度总体目标</w:t>
            </w:r>
          </w:p>
        </w:tc>
        <w:tc>
          <w:tcPr>
            <w:tcW w:w="442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AF14A2">
            <w:pPr>
              <w:jc w:val="center"/>
            </w:pPr>
            <w:r>
              <w:rPr>
                <w:rFonts w:ascii="宋体" w:hAnsi="宋体" w:eastAsia="宋体"/>
                <w:sz w:val="16"/>
              </w:rPr>
              <w:t>预期目标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79C6FC">
            <w:pPr>
              <w:jc w:val="center"/>
            </w:pPr>
            <w:r>
              <w:rPr>
                <w:rFonts w:ascii="宋体" w:hAnsi="宋体" w:eastAsia="宋体"/>
                <w:sz w:val="16"/>
              </w:rPr>
              <w:t>实际完成情况</w:t>
            </w:r>
          </w:p>
        </w:tc>
      </w:tr>
      <w:tr w14:paraId="788F544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47E035"/>
        </w:tc>
        <w:tc>
          <w:tcPr>
            <w:tcW w:w="442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5D098D">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3501D9">
            <w:pPr>
              <w:jc w:val="both"/>
            </w:pPr>
            <w:r>
              <w:rPr>
                <w:rFonts w:ascii="宋体" w:hAnsi="宋体" w:eastAsia="宋体"/>
                <w:sz w:val="16"/>
              </w:rPr>
              <w:t>紧紧围绕县教育局的工作部署，以“高质量发展”为主旋律,以稳中求进为主基调，落实立德树人根本任务，继续推进学校教育改革试点工作，优化队伍建设，优化教育管理，优化作风建设，全面推进素质教育，全面提高办学水平，凝心聚力、务实奋进，努力开创学校教育发展新局面。</w:t>
            </w:r>
            <w:r>
              <w:rPr>
                <w:rFonts w:ascii="宋体" w:hAnsi="宋体" w:eastAsia="宋体"/>
                <w:sz w:val="16"/>
              </w:rPr>
              <w:br w:type="textWrapping"/>
            </w:r>
            <w:r>
              <w:rPr>
                <w:rFonts w:ascii="宋体" w:hAnsi="宋体" w:eastAsia="宋体"/>
                <w:sz w:val="16"/>
              </w:rPr>
              <w:t>一、党建工作有新作为。</w:t>
            </w:r>
            <w:r>
              <w:rPr>
                <w:rFonts w:ascii="宋体" w:hAnsi="宋体" w:eastAsia="宋体"/>
                <w:sz w:val="16"/>
              </w:rPr>
              <w:br w:type="textWrapping"/>
            </w:r>
            <w:r>
              <w:rPr>
                <w:rFonts w:ascii="宋体" w:hAnsi="宋体" w:eastAsia="宋体"/>
                <w:sz w:val="16"/>
              </w:rPr>
              <w:t>二、文化环境有新面貌。</w:t>
            </w:r>
            <w:r>
              <w:rPr>
                <w:rFonts w:ascii="宋体" w:hAnsi="宋体" w:eastAsia="宋体"/>
                <w:sz w:val="16"/>
              </w:rPr>
              <w:br w:type="textWrapping"/>
            </w:r>
            <w:r>
              <w:rPr>
                <w:rFonts w:ascii="宋体" w:hAnsi="宋体" w:eastAsia="宋体"/>
                <w:sz w:val="16"/>
              </w:rPr>
              <w:t>三、精细管理有新亮点。</w:t>
            </w:r>
            <w:r>
              <w:rPr>
                <w:rFonts w:ascii="宋体" w:hAnsi="宋体" w:eastAsia="宋体"/>
                <w:sz w:val="16"/>
              </w:rPr>
              <w:br w:type="textWrapping"/>
            </w:r>
            <w:r>
              <w:rPr>
                <w:rFonts w:ascii="宋体" w:hAnsi="宋体" w:eastAsia="宋体"/>
                <w:sz w:val="16"/>
              </w:rPr>
              <w:t>四、干部作风有新提升。</w:t>
            </w:r>
          </w:p>
        </w:tc>
      </w:tr>
      <w:tr w14:paraId="55A74AD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33B2BB">
            <w:pPr>
              <w:jc w:val="center"/>
            </w:pPr>
            <w:r>
              <w:rPr>
                <w:rFonts w:ascii="宋体" w:hAnsi="宋体" w:eastAsia="宋体"/>
                <w:sz w:val="16"/>
              </w:rPr>
              <w:t>一级指标</w:t>
            </w:r>
          </w:p>
        </w:tc>
        <w:tc>
          <w:tcPr>
            <w:tcW w:w="919" w:type="dxa"/>
            <w:tcBorders>
              <w:top w:val="single" w:color="auto" w:sz="10" w:space="0"/>
              <w:left w:val="single" w:color="auto" w:sz="10" w:space="0"/>
              <w:bottom w:val="single" w:color="auto" w:sz="10" w:space="0"/>
              <w:right w:val="single" w:color="auto" w:sz="10" w:space="0"/>
              <w:insideV w:val="single" w:sz="10" w:space="0"/>
            </w:tcBorders>
            <w:vAlign w:val="center"/>
          </w:tcPr>
          <w:p w14:paraId="71F8B1D3">
            <w:pPr>
              <w:jc w:val="center"/>
            </w:pPr>
            <w:r>
              <w:rPr>
                <w:rFonts w:ascii="宋体" w:hAnsi="宋体" w:eastAsia="宋体"/>
                <w:sz w:val="16"/>
              </w:rPr>
              <w:t>二级指标</w:t>
            </w:r>
          </w:p>
        </w:tc>
        <w:tc>
          <w:tcPr>
            <w:tcW w:w="12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B99B0">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0C10AA">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5ABA1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304C4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425F2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264834">
            <w:pPr>
              <w:jc w:val="center"/>
            </w:pPr>
            <w:r>
              <w:rPr>
                <w:rFonts w:ascii="宋体" w:hAnsi="宋体" w:eastAsia="宋体"/>
                <w:sz w:val="16"/>
              </w:rPr>
              <w:t>得分</w:t>
            </w:r>
          </w:p>
        </w:tc>
      </w:tr>
      <w:tr w14:paraId="3A2DC28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7562B">
            <w:pPr>
              <w:jc w:val="center"/>
            </w:pPr>
            <w:r>
              <w:rPr>
                <w:rFonts w:ascii="宋体" w:hAnsi="宋体" w:eastAsia="宋体"/>
                <w:sz w:val="16"/>
              </w:rPr>
              <w:t>履职效能</w:t>
            </w:r>
          </w:p>
        </w:tc>
        <w:tc>
          <w:tcPr>
            <w:tcW w:w="91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8E460">
            <w:pPr>
              <w:jc w:val="center"/>
            </w:pPr>
            <w:r>
              <w:rPr>
                <w:rFonts w:ascii="宋体" w:hAnsi="宋体" w:eastAsia="宋体"/>
                <w:sz w:val="16"/>
              </w:rPr>
              <w:t>数量指标</w:t>
            </w:r>
          </w:p>
        </w:tc>
        <w:tc>
          <w:tcPr>
            <w:tcW w:w="12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9EE13">
            <w:pPr>
              <w:jc w:val="center"/>
            </w:pPr>
            <w:r>
              <w:rPr>
                <w:rFonts w:ascii="宋体" w:hAnsi="宋体" w:eastAsia="宋体"/>
                <w:sz w:val="16"/>
              </w:rPr>
              <w:t>消除义务教育大班额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DD7A5A">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F5E65C">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B87B1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2CFD92">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6ED339">
            <w:pPr>
              <w:jc w:val="center"/>
            </w:pPr>
            <w:r>
              <w:rPr>
                <w:rFonts w:ascii="宋体" w:hAnsi="宋体" w:eastAsia="宋体"/>
                <w:sz w:val="16"/>
              </w:rPr>
              <w:t>15</w:t>
            </w:r>
          </w:p>
        </w:tc>
      </w:tr>
      <w:tr w14:paraId="5A6DE2B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E437A8"/>
        </w:tc>
        <w:tc>
          <w:tcPr>
            <w:tcW w:w="919" w:type="dxa"/>
            <w:vMerge w:val="continue"/>
            <w:tcBorders>
              <w:top w:val="single" w:color="auto" w:sz="10" w:space="0"/>
              <w:left w:val="single" w:color="auto" w:sz="10" w:space="0"/>
              <w:bottom w:val="single" w:color="auto" w:sz="10" w:space="0"/>
              <w:right w:val="single" w:color="auto" w:sz="10" w:space="0"/>
              <w:insideV w:val="single" w:sz="10" w:space="0"/>
            </w:tcBorders>
          </w:tcPr>
          <w:p w14:paraId="3D0D25B8"/>
        </w:tc>
        <w:tc>
          <w:tcPr>
            <w:tcW w:w="12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14147">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6C0E4F">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F2C0A1">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D071B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2ABBAD">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2B1DB">
            <w:pPr>
              <w:jc w:val="center"/>
            </w:pPr>
            <w:r>
              <w:rPr>
                <w:rFonts w:ascii="宋体" w:hAnsi="宋体" w:eastAsia="宋体"/>
                <w:sz w:val="16"/>
              </w:rPr>
              <w:t>15</w:t>
            </w:r>
          </w:p>
        </w:tc>
      </w:tr>
      <w:tr w14:paraId="6410F48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7882E3"/>
        </w:tc>
        <w:tc>
          <w:tcPr>
            <w:tcW w:w="919" w:type="dxa"/>
            <w:vMerge w:val="continue"/>
            <w:tcBorders>
              <w:top w:val="single" w:color="auto" w:sz="10" w:space="0"/>
              <w:left w:val="single" w:color="auto" w:sz="10" w:space="0"/>
              <w:bottom w:val="single" w:color="auto" w:sz="10" w:space="0"/>
              <w:right w:val="single" w:color="auto" w:sz="10" w:space="0"/>
              <w:insideV w:val="single" w:sz="10" w:space="0"/>
            </w:tcBorders>
          </w:tcPr>
          <w:p w14:paraId="2E731563"/>
        </w:tc>
        <w:tc>
          <w:tcPr>
            <w:tcW w:w="12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C56E0">
            <w:pPr>
              <w:jc w:val="center"/>
            </w:pPr>
            <w:r>
              <w:rPr>
                <w:rFonts w:ascii="宋体" w:hAnsi="宋体" w:eastAsia="宋体"/>
                <w:sz w:val="16"/>
              </w:rPr>
              <w:t>实现信息化教学覆盖率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2C582">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C0BA95">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87EF1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C20C04">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5EEFBE">
            <w:pPr>
              <w:jc w:val="center"/>
            </w:pPr>
            <w:r>
              <w:rPr>
                <w:rFonts w:ascii="宋体" w:hAnsi="宋体" w:eastAsia="宋体"/>
                <w:sz w:val="16"/>
              </w:rPr>
              <w:t>15</w:t>
            </w:r>
          </w:p>
        </w:tc>
      </w:tr>
      <w:tr w14:paraId="6690134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51046F"/>
        </w:tc>
        <w:tc>
          <w:tcPr>
            <w:tcW w:w="919" w:type="dxa"/>
            <w:vMerge w:val="continue"/>
            <w:tcBorders>
              <w:top w:val="single" w:color="auto" w:sz="10" w:space="0"/>
              <w:left w:val="single" w:color="auto" w:sz="10" w:space="0"/>
              <w:bottom w:val="single" w:color="auto" w:sz="10" w:space="0"/>
              <w:right w:val="single" w:color="auto" w:sz="10" w:space="0"/>
              <w:insideV w:val="single" w:sz="10" w:space="0"/>
            </w:tcBorders>
          </w:tcPr>
          <w:p w14:paraId="5E858550"/>
        </w:tc>
        <w:tc>
          <w:tcPr>
            <w:tcW w:w="12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6B61E">
            <w:pPr>
              <w:jc w:val="center"/>
            </w:pPr>
            <w:r>
              <w:rPr>
                <w:rFonts w:ascii="宋体" w:hAnsi="宋体" w:eastAsia="宋体"/>
                <w:sz w:val="16"/>
              </w:rPr>
              <w:t>创建平安校园活动举办次数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7FABBD">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EDF331">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BBEFE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72AEFD">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B2CF7B">
            <w:pPr>
              <w:jc w:val="center"/>
            </w:pPr>
            <w:r>
              <w:rPr>
                <w:rFonts w:ascii="宋体" w:hAnsi="宋体" w:eastAsia="宋体"/>
                <w:sz w:val="16"/>
              </w:rPr>
              <w:t>15</w:t>
            </w:r>
          </w:p>
        </w:tc>
      </w:tr>
      <w:tr w14:paraId="3FB31E6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DDADD0"/>
        </w:tc>
        <w:tc>
          <w:tcPr>
            <w:tcW w:w="91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B377F">
            <w:pPr>
              <w:jc w:val="center"/>
            </w:pPr>
            <w:r>
              <w:rPr>
                <w:rFonts w:ascii="宋体" w:hAnsi="宋体" w:eastAsia="宋体"/>
                <w:sz w:val="16"/>
              </w:rPr>
              <w:t>质量指标</w:t>
            </w:r>
          </w:p>
        </w:tc>
        <w:tc>
          <w:tcPr>
            <w:tcW w:w="12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DFDB0">
            <w:pPr>
              <w:jc w:val="center"/>
            </w:pPr>
            <w:r>
              <w:rPr>
                <w:rFonts w:ascii="宋体" w:hAnsi="宋体" w:eastAsia="宋体"/>
                <w:sz w:val="16"/>
              </w:rPr>
              <w:t>义务教育优质均衡率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3EF569">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BDF8BA">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BC29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7AC9FE">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5735C8">
            <w:pPr>
              <w:jc w:val="center"/>
            </w:pPr>
            <w:r>
              <w:rPr>
                <w:rFonts w:ascii="宋体" w:hAnsi="宋体" w:eastAsia="宋体"/>
                <w:sz w:val="16"/>
              </w:rPr>
              <w:t>15</w:t>
            </w:r>
          </w:p>
        </w:tc>
      </w:tr>
      <w:tr w14:paraId="1365031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7B22DA"/>
        </w:tc>
        <w:tc>
          <w:tcPr>
            <w:tcW w:w="919" w:type="dxa"/>
            <w:vMerge w:val="continue"/>
            <w:tcBorders>
              <w:top w:val="single" w:color="auto" w:sz="10" w:space="0"/>
              <w:left w:val="single" w:color="auto" w:sz="10" w:space="0"/>
              <w:bottom w:val="single" w:color="auto" w:sz="10" w:space="0"/>
              <w:right w:val="single" w:color="auto" w:sz="10" w:space="0"/>
              <w:insideV w:val="single" w:sz="10" w:space="0"/>
            </w:tcBorders>
          </w:tcPr>
          <w:p w14:paraId="31B247E8"/>
        </w:tc>
        <w:tc>
          <w:tcPr>
            <w:tcW w:w="12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D9011">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44C82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CBCE70">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898AA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B5DA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CA3D4">
            <w:pPr>
              <w:jc w:val="center"/>
            </w:pPr>
            <w:r>
              <w:rPr>
                <w:rFonts w:ascii="宋体" w:hAnsi="宋体" w:eastAsia="宋体"/>
                <w:sz w:val="16"/>
              </w:rPr>
              <w:t>15</w:t>
            </w:r>
          </w:p>
        </w:tc>
      </w:tr>
    </w:tbl>
    <w:p w14:paraId="48A2A4F8">
      <w:r>
        <w:br w:type="page"/>
      </w:r>
    </w:p>
    <w:p w14:paraId="3C1BB51A">
      <w:pPr>
        <w:spacing w:line="640" w:lineRule="exact"/>
        <w:ind w:firstLine="640"/>
        <w:jc w:val="both"/>
        <w:outlineLvl w:val="2"/>
      </w:pPr>
      <w:r>
        <w:rPr>
          <w:rFonts w:ascii="黑体" w:hAnsi="黑体" w:eastAsia="黑体"/>
          <w:sz w:val="32"/>
        </w:rPr>
        <w:t>十二、其他需说明的事项</w:t>
      </w:r>
    </w:p>
    <w:p w14:paraId="3DE408B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1050B2C5">
      <w:r>
        <w:br w:type="page"/>
      </w:r>
    </w:p>
    <w:p w14:paraId="218A3CD5">
      <w:pPr>
        <w:spacing w:line="240" w:lineRule="auto"/>
        <w:jc w:val="center"/>
        <w:outlineLvl w:val="1"/>
      </w:pPr>
      <w:r>
        <w:rPr>
          <w:rFonts w:ascii="黑体" w:hAnsi="黑体" w:eastAsia="黑体"/>
          <w:sz w:val="32"/>
        </w:rPr>
        <w:t>第三部分 专业名词解释</w:t>
      </w:r>
    </w:p>
    <w:p w14:paraId="6DF53B1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C7DA2C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3FFF056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6978970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0219CD00">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4A46170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083CCE0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A0C639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93B03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311BF1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341D6F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1C22CBB2">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FBF962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1AEE31E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34AE34E0">
      <w:r>
        <w:br w:type="page"/>
      </w:r>
    </w:p>
    <w:p w14:paraId="160FF937">
      <w:pPr>
        <w:spacing w:line="240" w:lineRule="auto"/>
        <w:jc w:val="center"/>
        <w:outlineLvl w:val="1"/>
      </w:pPr>
      <w:r>
        <w:rPr>
          <w:rFonts w:ascii="黑体" w:hAnsi="黑体" w:eastAsia="黑体"/>
          <w:sz w:val="32"/>
        </w:rPr>
        <w:t>第四部分 部门决算报表（见附表）</w:t>
      </w:r>
    </w:p>
    <w:p w14:paraId="0C32E2DA">
      <w:pPr>
        <w:spacing w:line="240" w:lineRule="auto"/>
        <w:ind w:firstLine="640"/>
        <w:jc w:val="both"/>
      </w:pPr>
      <w:r>
        <w:rPr>
          <w:rFonts w:ascii="仿宋_GB2312" w:hAnsi="仿宋_GB2312" w:eastAsia="仿宋_GB2312"/>
          <w:b w:val="0"/>
          <w:sz w:val="32"/>
        </w:rPr>
        <w:t>一、《收入支出决算总表》</w:t>
      </w:r>
    </w:p>
    <w:p w14:paraId="1A722D1E">
      <w:pPr>
        <w:spacing w:line="240" w:lineRule="auto"/>
        <w:ind w:firstLine="640"/>
        <w:jc w:val="both"/>
      </w:pPr>
      <w:r>
        <w:rPr>
          <w:rFonts w:ascii="仿宋_GB2312" w:hAnsi="仿宋_GB2312" w:eastAsia="仿宋_GB2312"/>
          <w:b w:val="0"/>
          <w:sz w:val="32"/>
        </w:rPr>
        <w:t>二、《收入决算表》</w:t>
      </w:r>
    </w:p>
    <w:p w14:paraId="49F604CC">
      <w:pPr>
        <w:spacing w:line="240" w:lineRule="auto"/>
        <w:ind w:firstLine="640"/>
        <w:jc w:val="both"/>
      </w:pPr>
      <w:r>
        <w:rPr>
          <w:rFonts w:ascii="仿宋_GB2312" w:hAnsi="仿宋_GB2312" w:eastAsia="仿宋_GB2312"/>
          <w:b w:val="0"/>
          <w:sz w:val="32"/>
        </w:rPr>
        <w:t>三、《支出决算表》</w:t>
      </w:r>
    </w:p>
    <w:p w14:paraId="4D60722C">
      <w:pPr>
        <w:spacing w:line="240" w:lineRule="auto"/>
        <w:ind w:firstLine="640"/>
        <w:jc w:val="both"/>
      </w:pPr>
      <w:r>
        <w:rPr>
          <w:rFonts w:ascii="仿宋_GB2312" w:hAnsi="仿宋_GB2312" w:eastAsia="仿宋_GB2312"/>
          <w:b w:val="0"/>
          <w:sz w:val="32"/>
        </w:rPr>
        <w:t>四、《财政拨款收入支出决算总表》</w:t>
      </w:r>
    </w:p>
    <w:p w14:paraId="6B5413D0">
      <w:pPr>
        <w:spacing w:line="240" w:lineRule="auto"/>
        <w:ind w:firstLine="640"/>
        <w:jc w:val="both"/>
      </w:pPr>
      <w:r>
        <w:rPr>
          <w:rFonts w:ascii="仿宋_GB2312" w:hAnsi="仿宋_GB2312" w:eastAsia="仿宋_GB2312"/>
          <w:b w:val="0"/>
          <w:sz w:val="32"/>
        </w:rPr>
        <w:t>五、《一般公共预算财政拨款支出决算表》</w:t>
      </w:r>
    </w:p>
    <w:p w14:paraId="0C84D155">
      <w:pPr>
        <w:spacing w:line="240" w:lineRule="auto"/>
        <w:ind w:firstLine="640"/>
        <w:jc w:val="both"/>
      </w:pPr>
      <w:r>
        <w:rPr>
          <w:rFonts w:ascii="仿宋_GB2312" w:hAnsi="仿宋_GB2312" w:eastAsia="仿宋_GB2312"/>
          <w:b w:val="0"/>
          <w:sz w:val="32"/>
        </w:rPr>
        <w:t>六、《一般公共预算财政拨款基本支出决算表》</w:t>
      </w:r>
    </w:p>
    <w:p w14:paraId="6757AAE8">
      <w:pPr>
        <w:spacing w:line="240" w:lineRule="auto"/>
        <w:ind w:firstLine="640"/>
        <w:jc w:val="both"/>
      </w:pPr>
      <w:r>
        <w:rPr>
          <w:rFonts w:ascii="仿宋_GB2312" w:hAnsi="仿宋_GB2312" w:eastAsia="仿宋_GB2312"/>
          <w:b w:val="0"/>
          <w:sz w:val="32"/>
        </w:rPr>
        <w:t>七、《政府性基金预算财政拨款收入支出决算表》</w:t>
      </w:r>
    </w:p>
    <w:p w14:paraId="6F715604">
      <w:pPr>
        <w:spacing w:line="240" w:lineRule="auto"/>
        <w:ind w:firstLine="640"/>
        <w:jc w:val="both"/>
      </w:pPr>
      <w:r>
        <w:rPr>
          <w:rFonts w:ascii="仿宋_GB2312" w:hAnsi="仿宋_GB2312" w:eastAsia="仿宋_GB2312"/>
          <w:b w:val="0"/>
          <w:sz w:val="32"/>
        </w:rPr>
        <w:t>八、《国有资本经营预算财政拨款收入支出决算表》</w:t>
      </w:r>
    </w:p>
    <w:p w14:paraId="395B2F1A">
      <w:pPr>
        <w:spacing w:line="240" w:lineRule="auto"/>
        <w:ind w:firstLine="640"/>
        <w:jc w:val="both"/>
      </w:pPr>
      <w:r>
        <w:rPr>
          <w:rFonts w:ascii="仿宋_GB2312" w:hAnsi="仿宋_GB2312" w:eastAsia="仿宋_GB2312"/>
          <w:b w:val="0"/>
          <w:sz w:val="32"/>
        </w:rPr>
        <w:t>九、《财政拨款“三公”经费支出决算表》</w:t>
      </w:r>
    </w:p>
    <w:p w14:paraId="53B09977">
      <w:pPr>
        <w:spacing w:line="240" w:lineRule="auto"/>
        <w:ind w:firstLine="640"/>
        <w:jc w:val="both"/>
      </w:pPr>
    </w:p>
    <w:p w14:paraId="656DD4BE">
      <w:pPr>
        <w:spacing w:line="240" w:lineRule="auto"/>
        <w:ind w:firstLine="640"/>
        <w:jc w:val="both"/>
      </w:pPr>
    </w:p>
    <w:p w14:paraId="2AEB2621">
      <w:pPr>
        <w:spacing w:line="240" w:lineRule="auto"/>
        <w:ind w:firstLine="640"/>
        <w:jc w:val="both"/>
      </w:pPr>
    </w:p>
    <w:p w14:paraId="14B33B59">
      <w:pPr>
        <w:spacing w:line="240" w:lineRule="auto"/>
        <w:ind w:firstLine="640"/>
        <w:jc w:val="both"/>
      </w:pPr>
    </w:p>
    <w:p w14:paraId="0BDF82B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A918A3"/>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B93432"/>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DC5101E"/>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cd4adb4f-8388-4156-b245-54aa134ec3f0</errorID>
      <errorWord>寄宿制</errorWord>
      <group>L1_Sensitive</group>
      <groupName>敏感问题</groupName>
      <ability>L2_UserSensitive</ability>
      <abilityName>自定义敏感词</abilityName>
      <candidateList/>
      <explain>来自自定义敏感词库。</explain>
      <paraID> 1973149</paraID>
      <start>9</start>
      <end>12</end>
      <status>ignored</status>
      <modifiedWord/>
      <trackRevisions>false</trackRevisions>
    </reviewItem>
    <reviewItem>
      <errorID>549aab45-1112-4d48-9d26-22d343acddb7</errorID>
      <errorWord>寄宿制</errorWord>
      <group>L1_Sensitive</group>
      <groupName>敏感问题</groupName>
      <ability>L2_UserSensitive</ability>
      <abilityName>自定义敏感词</abilityName>
      <candidateList/>
      <explain>来自自定义敏感词库。</explain>
      <paraID> 1BD98A7</paraID>
      <start>9</start>
      <end>12</end>
      <status>ignored</status>
      <modifiedWord/>
      <trackRevisions>false</trackRevisions>
    </reviewItem>
    <reviewItem>
      <errorID>30ae6eda-ebdc-4baa-808b-d7127dfbb929</errorID>
      <errorWord>寄宿制</errorWord>
      <group>L1_Sensitive</group>
      <groupName>敏感问题</groupName>
      <ability>L2_UserSensitive</ability>
      <abilityName>自定义敏感词</abilityName>
      <candidateList/>
      <explain>来自自定义敏感词库。</explain>
      <paraID>3E721B80</paraID>
      <start>9</start>
      <end>12</end>
      <status>ignored</status>
      <modifiedWord/>
      <trackRevisions>false</trackRevisions>
    </reviewItem>
    <reviewItem>
      <errorID>2c214eb3-347d-43f8-ba84-d1a63cbd3111</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38A09E0E</paraID>
      <start>95</start>
      <end>96</end>
      <status>modified</status>
      <modifiedWord>—</modifiedWord>
      <trackRevisions>false</trackRevisions>
    </reviewItem>
    <reviewItem>
      <errorID>48535fc4-17d4-499d-aa62-2673bbe83a34</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 50768C9</paraID>
      <start>93</start>
      <end>94</end>
      <status>modified</status>
      <modifiedWord>—</modifiedWord>
      <trackRevisions>false</trackRevisions>
    </reviewItem>
    <reviewItem>
      <errorID>a9b44084-d991-4d1b-a012-df9602c34d18</errorID>
      <errorWord>寄宿制</errorWord>
      <group>L1_Sensitive</group>
      <groupName>敏感问题</groupName>
      <ability>L2_UserSensitive</ability>
      <abilityName>自定义敏感词</abilityName>
      <candidateList/>
      <explain>来自自定义敏感词库。</explain>
      <paraID> 28B6CF4</paraID>
      <start>15</start>
      <end>18</end>
      <status>ignored</status>
      <modifiedWord/>
      <trackRevisions>false</trackRevisions>
    </reviewItem>
    <reviewItem>
      <errorID>ea154550-a8f3-4ba3-9d73-1ce5288ada33</errorID>
      <errorWord>2月31日</errorWord>
      <group>L1_Sensitive</group>
      <groupName>敏感问题</groupName>
      <ability>L2_UserSensitive</ability>
      <abilityName>自定义敏感词</abilityName>
      <candidateList/>
      <explain>来自自定义敏感词库。</explain>
      <paraID>43E4136B</paraID>
      <start>8</start>
      <end>13</end>
      <status>unmodified</status>
      <modifiedWord/>
      <trackRevisions>false</trackRevisions>
    </reviewItem>
    <reviewItem>
      <errorID>a32561fe-76f2-45d2-bf2e-08b20d3f3b02</errorID>
      <errorWord>寄宿制</errorWord>
      <group>L1_Sensitive</group>
      <groupName>敏感问题</groupName>
      <ability>L2_UserSensitive</ability>
      <abilityName>自定义敏感词</abilityName>
      <candidateList/>
      <explain>来自自定义敏感词库。</explain>
      <paraID>7A1E16FD</paraID>
      <start>9</start>
      <end>12</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872846-959e-48a1-a172-bb58e4b1edd0}">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6001</Words>
  <Characters>6877</Characters>
  <Lines>0</Lines>
  <Paragraphs>0</Paragraphs>
  <TotalTime>83</TotalTime>
  <ScaleCrop>false</ScaleCrop>
  <LinksUpToDate>false</LinksUpToDate>
  <CharactersWithSpaces>6887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