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03E1E"/>
    <w:p w14:paraId="2F00D5CC">
      <w:pPr>
        <w:spacing w:line="540" w:lineRule="exact"/>
        <w:jc w:val="center"/>
        <w:rPr>
          <w:rFonts w:eastAsia="华文中宋"/>
          <w:b/>
          <w:kern w:val="0"/>
          <w:sz w:val="52"/>
          <w:szCs w:val="52"/>
        </w:rPr>
      </w:pPr>
    </w:p>
    <w:p w14:paraId="5C88CEEB">
      <w:pPr>
        <w:spacing w:line="540" w:lineRule="exact"/>
        <w:rPr>
          <w:rFonts w:eastAsia="华文中宋"/>
          <w:b/>
          <w:kern w:val="0"/>
          <w:sz w:val="52"/>
          <w:szCs w:val="52"/>
        </w:rPr>
      </w:pPr>
    </w:p>
    <w:p w14:paraId="08D11A3A">
      <w:pPr>
        <w:spacing w:line="540" w:lineRule="exact"/>
        <w:jc w:val="center"/>
        <w:rPr>
          <w:rFonts w:eastAsia="华文中宋"/>
          <w:b/>
          <w:kern w:val="0"/>
          <w:sz w:val="52"/>
          <w:szCs w:val="52"/>
        </w:rPr>
      </w:pPr>
    </w:p>
    <w:p w14:paraId="2164D6AB">
      <w:pPr>
        <w:spacing w:line="540" w:lineRule="exact"/>
        <w:jc w:val="center"/>
        <w:rPr>
          <w:rFonts w:eastAsia="华文中宋"/>
          <w:b/>
          <w:kern w:val="0"/>
          <w:sz w:val="52"/>
          <w:szCs w:val="52"/>
        </w:rPr>
      </w:pPr>
    </w:p>
    <w:p w14:paraId="4F4B0D52">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val="en-US" w:eastAsia="zh-CN"/>
        </w:rPr>
        <w:t>2024年单位自有资金(事业收入）</w:t>
      </w:r>
      <w:r>
        <w:rPr>
          <w:rFonts w:hint="eastAsia" w:ascii="方正小标宋简体" w:hAnsi="方正小标宋简体" w:eastAsia="方正小标宋简体" w:cs="方正小标宋简体"/>
          <w:kern w:val="0"/>
          <w:sz w:val="44"/>
          <w:szCs w:val="44"/>
        </w:rPr>
        <w:t>项目</w:t>
      </w:r>
    </w:p>
    <w:p w14:paraId="0EEACA64">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rPr>
        <w:t>支出绩效评价报告</w:t>
      </w:r>
    </w:p>
    <w:p w14:paraId="3080158E">
      <w:pPr>
        <w:spacing w:line="540" w:lineRule="exact"/>
        <w:jc w:val="center"/>
        <w:rPr>
          <w:rFonts w:eastAsia="华文中宋"/>
          <w:b/>
          <w:kern w:val="0"/>
          <w:sz w:val="52"/>
          <w:szCs w:val="52"/>
        </w:rPr>
      </w:pPr>
    </w:p>
    <w:p w14:paraId="38467644">
      <w:pPr>
        <w:spacing w:line="540" w:lineRule="exact"/>
        <w:jc w:val="center"/>
        <w:rPr>
          <w:rFonts w:eastAsia="仿宋_GB2312"/>
          <w:kern w:val="0"/>
          <w:sz w:val="32"/>
          <w:szCs w:val="32"/>
        </w:rPr>
      </w:pPr>
      <w:r>
        <w:rPr>
          <w:rFonts w:eastAsia="仿宋_GB2312"/>
          <w:kern w:val="0"/>
          <w:sz w:val="32"/>
          <w:szCs w:val="32"/>
        </w:rPr>
        <w:t>（2024年度）</w:t>
      </w:r>
    </w:p>
    <w:p w14:paraId="797113FC">
      <w:pPr>
        <w:spacing w:line="540" w:lineRule="exact"/>
        <w:jc w:val="center"/>
        <w:rPr>
          <w:rFonts w:eastAsia="仿宋_GB2312"/>
          <w:kern w:val="0"/>
          <w:sz w:val="30"/>
          <w:szCs w:val="30"/>
        </w:rPr>
      </w:pPr>
    </w:p>
    <w:p w14:paraId="1A19BE72">
      <w:pPr>
        <w:spacing w:line="540" w:lineRule="exact"/>
        <w:jc w:val="both"/>
        <w:rPr>
          <w:rFonts w:eastAsia="仿宋_GB2312"/>
          <w:kern w:val="0"/>
          <w:sz w:val="30"/>
          <w:szCs w:val="30"/>
        </w:rPr>
      </w:pPr>
    </w:p>
    <w:p w14:paraId="0A2905D6">
      <w:pPr>
        <w:pStyle w:val="11"/>
        <w:rPr>
          <w:rFonts w:ascii="Times New Roman" w:hAnsi="Times New Roman"/>
        </w:rPr>
      </w:pPr>
    </w:p>
    <w:p w14:paraId="1DEA14B3">
      <w:pPr>
        <w:spacing w:line="540" w:lineRule="exact"/>
        <w:jc w:val="center"/>
        <w:rPr>
          <w:rFonts w:eastAsia="仿宋_GB2312"/>
          <w:kern w:val="0"/>
          <w:sz w:val="30"/>
          <w:szCs w:val="30"/>
        </w:rPr>
      </w:pPr>
    </w:p>
    <w:p w14:paraId="0F7E935F">
      <w:pPr>
        <w:spacing w:line="540" w:lineRule="exact"/>
        <w:rPr>
          <w:rFonts w:eastAsia="仿宋_GB2312"/>
          <w:kern w:val="0"/>
          <w:sz w:val="30"/>
          <w:szCs w:val="30"/>
        </w:rPr>
      </w:pPr>
    </w:p>
    <w:p w14:paraId="73FE46ED">
      <w:pPr>
        <w:spacing w:line="700" w:lineRule="exact"/>
        <w:ind w:firstLine="1280" w:firstLineChars="400"/>
        <w:jc w:val="left"/>
        <w:rPr>
          <w:rFonts w:hint="default" w:eastAsia="仿宋_GB2312"/>
          <w:kern w:val="0"/>
          <w:sz w:val="32"/>
          <w:szCs w:val="32"/>
          <w:lang w:val="en-US" w:eastAsia="zh-CN"/>
        </w:rPr>
      </w:pPr>
      <w:r>
        <w:rPr>
          <w:rFonts w:eastAsia="仿宋_GB2312"/>
          <w:kern w:val="0"/>
          <w:sz w:val="32"/>
          <w:szCs w:val="32"/>
        </w:rPr>
        <w:t>项目名称：</w:t>
      </w:r>
      <w:bookmarkStart w:id="0" w:name="OLE_LINK2"/>
      <w:r>
        <w:rPr>
          <w:rFonts w:hint="eastAsia" w:eastAsia="仿宋_GB2312"/>
          <w:kern w:val="0"/>
          <w:sz w:val="32"/>
          <w:szCs w:val="32"/>
          <w:lang w:val="en-US" w:eastAsia="zh-CN"/>
        </w:rPr>
        <w:t>2024年单位自有资金(事业收入）</w:t>
      </w:r>
      <w:bookmarkEnd w:id="0"/>
      <w:r>
        <w:rPr>
          <w:rFonts w:hint="eastAsia" w:eastAsia="仿宋_GB2312"/>
          <w:kern w:val="0"/>
          <w:sz w:val="32"/>
          <w:szCs w:val="32"/>
          <w:lang w:val="en-US" w:eastAsia="zh-CN"/>
        </w:rPr>
        <w:t>项目</w:t>
      </w:r>
    </w:p>
    <w:p w14:paraId="0D7A6139">
      <w:pPr>
        <w:spacing w:line="700" w:lineRule="exact"/>
        <w:ind w:firstLine="1280" w:firstLineChars="400"/>
        <w:jc w:val="left"/>
        <w:rPr>
          <w:rFonts w:hint="eastAsia" w:eastAsia="仿宋_GB2312"/>
          <w:kern w:val="0"/>
          <w:sz w:val="32"/>
          <w:szCs w:val="32"/>
          <w:lang w:val="en-US" w:eastAsia="zh-CN"/>
        </w:rPr>
      </w:pPr>
      <w:r>
        <w:rPr>
          <w:rFonts w:eastAsia="仿宋_GB2312"/>
          <w:kern w:val="0"/>
          <w:sz w:val="32"/>
          <w:szCs w:val="32"/>
        </w:rPr>
        <w:t>实施单位（公章）：</w:t>
      </w:r>
      <w:r>
        <w:rPr>
          <w:rFonts w:hint="eastAsia" w:eastAsia="仿宋_GB2312"/>
          <w:kern w:val="0"/>
          <w:sz w:val="32"/>
          <w:szCs w:val="32"/>
          <w:lang w:eastAsia="zh-CN"/>
        </w:rPr>
        <w:t>特克斯县特克斯镇卫生院</w:t>
      </w:r>
    </w:p>
    <w:p w14:paraId="4264D144">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主管部门（公章）：</w:t>
      </w:r>
      <w:r>
        <w:rPr>
          <w:rFonts w:hint="eastAsia" w:eastAsia="仿宋_GB2312"/>
          <w:kern w:val="0"/>
          <w:sz w:val="32"/>
          <w:szCs w:val="32"/>
          <w:lang w:eastAsia="zh-CN"/>
        </w:rPr>
        <w:t>特克斯县卫生健康委员会</w:t>
      </w:r>
    </w:p>
    <w:p w14:paraId="45833B16">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项目负责人（签章）：</w:t>
      </w:r>
      <w:r>
        <w:rPr>
          <w:rFonts w:hint="eastAsia" w:eastAsia="仿宋_GB2312"/>
          <w:kern w:val="0"/>
          <w:sz w:val="32"/>
          <w:szCs w:val="32"/>
          <w:lang w:eastAsia="zh-CN"/>
        </w:rPr>
        <w:t>韩文坤</w:t>
      </w:r>
    </w:p>
    <w:p w14:paraId="72854776">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lang w:val="en-US" w:eastAsia="zh-CN"/>
        </w:rPr>
        <w:t>2025</w:t>
      </w:r>
      <w:r>
        <w:rPr>
          <w:rFonts w:eastAsia="仿宋_GB2312"/>
          <w:kern w:val="0"/>
          <w:sz w:val="32"/>
          <w:szCs w:val="32"/>
        </w:rPr>
        <w:t>年</w:t>
      </w:r>
      <w:r>
        <w:rPr>
          <w:rFonts w:hint="eastAsia" w:eastAsia="仿宋_GB2312"/>
          <w:kern w:val="0"/>
          <w:sz w:val="32"/>
          <w:szCs w:val="32"/>
          <w:lang w:val="en-US" w:eastAsia="zh-CN"/>
        </w:rPr>
        <w:t>5</w:t>
      </w:r>
      <w:r>
        <w:rPr>
          <w:rFonts w:eastAsia="仿宋_GB2312"/>
          <w:kern w:val="0"/>
          <w:sz w:val="32"/>
          <w:szCs w:val="32"/>
        </w:rPr>
        <w:t>月</w:t>
      </w:r>
      <w:r>
        <w:rPr>
          <w:rFonts w:hint="eastAsia" w:eastAsia="仿宋_GB2312"/>
          <w:kern w:val="0"/>
          <w:sz w:val="32"/>
          <w:szCs w:val="32"/>
          <w:lang w:val="en-US" w:eastAsia="zh-CN"/>
        </w:rPr>
        <w:t>15</w:t>
      </w:r>
      <w:r>
        <w:rPr>
          <w:rFonts w:eastAsia="仿宋_GB2312"/>
          <w:kern w:val="0"/>
          <w:sz w:val="32"/>
          <w:szCs w:val="32"/>
        </w:rPr>
        <w:t>日</w:t>
      </w:r>
    </w:p>
    <w:p w14:paraId="00417483">
      <w:pPr>
        <w:spacing w:line="540" w:lineRule="exact"/>
        <w:jc w:val="center"/>
        <w:rPr>
          <w:rFonts w:eastAsia="仿宋_GB2312"/>
          <w:kern w:val="0"/>
          <w:sz w:val="30"/>
          <w:szCs w:val="30"/>
        </w:rPr>
      </w:pPr>
    </w:p>
    <w:p w14:paraId="79695EC6">
      <w:pPr>
        <w:spacing w:line="540" w:lineRule="exact"/>
        <w:rPr>
          <w:rStyle w:val="16"/>
          <w:rFonts w:eastAsia="黑体"/>
          <w:b w:val="0"/>
          <w:spacing w:val="-4"/>
          <w:sz w:val="32"/>
          <w:szCs w:val="32"/>
        </w:rPr>
      </w:pPr>
    </w:p>
    <w:p w14:paraId="7DBFA2F9">
      <w:pPr>
        <w:spacing w:line="540" w:lineRule="exact"/>
        <w:ind w:firstLine="640"/>
        <w:rPr>
          <w:rStyle w:val="16"/>
          <w:rFonts w:eastAsia="黑体"/>
          <w:b w:val="0"/>
          <w:spacing w:val="-4"/>
          <w:sz w:val="32"/>
          <w:szCs w:val="32"/>
        </w:rPr>
      </w:pPr>
    </w:p>
    <w:p w14:paraId="567207C3">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14:paraId="213D4C3D">
      <w:pPr>
        <w:spacing w:line="560" w:lineRule="exact"/>
        <w:ind w:firstLine="640" w:firstLineChars="200"/>
        <w:rPr>
          <w:rFonts w:eastAsia="黑体"/>
          <w:bCs/>
          <w:sz w:val="32"/>
          <w:szCs w:val="32"/>
        </w:rPr>
      </w:pPr>
      <w:r>
        <w:rPr>
          <w:rFonts w:eastAsia="黑体"/>
          <w:bCs/>
          <w:sz w:val="32"/>
          <w:szCs w:val="32"/>
        </w:rPr>
        <w:t>一、基本情况</w:t>
      </w:r>
    </w:p>
    <w:p w14:paraId="09BECC25">
      <w:pPr>
        <w:spacing w:line="560" w:lineRule="exact"/>
        <w:ind w:firstLine="643" w:firstLineChars="200"/>
        <w:rPr>
          <w:rFonts w:eastAsia="楷体_GB2312"/>
          <w:b/>
          <w:bCs/>
          <w:sz w:val="32"/>
          <w:szCs w:val="32"/>
        </w:rPr>
      </w:pPr>
      <w:r>
        <w:rPr>
          <w:rFonts w:eastAsia="楷体_GB2312"/>
          <w:b/>
          <w:bCs/>
          <w:sz w:val="32"/>
          <w:szCs w:val="32"/>
        </w:rPr>
        <w:t>（一）项目概况</w:t>
      </w:r>
    </w:p>
    <w:p w14:paraId="75F1754C">
      <w:pPr>
        <w:spacing w:line="560" w:lineRule="exact"/>
        <w:ind w:firstLine="643" w:firstLineChars="200"/>
        <w:rPr>
          <w:rFonts w:eastAsia="仿宋_GB2312"/>
          <w:b/>
          <w:bCs/>
          <w:sz w:val="32"/>
          <w:szCs w:val="32"/>
        </w:rPr>
      </w:pPr>
      <w:r>
        <w:rPr>
          <w:rFonts w:eastAsia="仿宋_GB2312"/>
          <w:b/>
          <w:bCs/>
          <w:sz w:val="32"/>
          <w:szCs w:val="32"/>
        </w:rPr>
        <w:t>1.项目背景</w:t>
      </w:r>
    </w:p>
    <w:p w14:paraId="56C1B2ED">
      <w:pPr>
        <w:spacing w:line="600" w:lineRule="exact"/>
        <w:ind w:firstLine="640" w:firstLineChars="200"/>
        <w:outlineLvl w:val="0"/>
        <w:rPr>
          <w:rFonts w:hint="eastAsia" w:eastAsia="仿宋_GB2312"/>
          <w:sz w:val="32"/>
          <w:szCs w:val="32"/>
          <w:highlight w:val="none"/>
          <w:lang w:eastAsia="zh-CN"/>
        </w:rPr>
      </w:pPr>
      <w:r>
        <w:rPr>
          <w:rFonts w:hint="eastAsia" w:eastAsia="仿宋_GB2312"/>
          <w:sz w:val="32"/>
          <w:szCs w:val="32"/>
          <w:highlight w:val="none"/>
        </w:rPr>
        <w:t>国办发【2010】62号国务院办公厅关于建立健全基层医疗卫生机构补偿机制的意见</w:t>
      </w:r>
      <w:r>
        <w:rPr>
          <w:rFonts w:hint="eastAsia" w:eastAsia="仿宋_GB2312"/>
          <w:sz w:val="32"/>
          <w:szCs w:val="32"/>
          <w:highlight w:val="none"/>
          <w:lang w:eastAsia="zh-CN"/>
        </w:rPr>
        <w:t>。</w:t>
      </w:r>
      <w:r>
        <w:rPr>
          <w:rFonts w:hint="eastAsia" w:eastAsia="仿宋_GB2312"/>
          <w:sz w:val="32"/>
          <w:szCs w:val="32"/>
          <w:highlight w:val="none"/>
        </w:rPr>
        <w:t>为人民健康医疗与预防保健服务，常见病多发病的治疗和护理；提供以预防保健、基本医疗、公共卫生、健康教育、JHSY、全民健康体检、康复等为主要内容的综合性服务。</w:t>
      </w:r>
      <w:r>
        <w:rPr>
          <w:rFonts w:hint="eastAsia" w:eastAsia="仿宋_GB2312" w:cs="Times New Roman"/>
          <w:sz w:val="30"/>
          <w:szCs w:val="30"/>
          <w:highlight w:val="none"/>
          <w:lang w:val="en-US" w:eastAsia="zh-CN"/>
        </w:rPr>
        <w:t>建立了稳定长效的多渠道补偿机制，确保基层医疗卫生机构有足够的资金维持日常运转，提升服务能力，促进其可持续发展。</w:t>
      </w:r>
    </w:p>
    <w:p w14:paraId="006C36BB">
      <w:pPr>
        <w:pStyle w:val="11"/>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14:paraId="252468EF">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0BEB6F1B">
      <w:pP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实施情况：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38106EA1">
      <w:pPr>
        <w:spacing w:line="560" w:lineRule="exact"/>
        <w:ind w:firstLine="321" w:firstLineChars="100"/>
        <w:rPr>
          <w:rFonts w:eastAsia="仿宋_GB2312"/>
          <w:b/>
          <w:bCs/>
          <w:sz w:val="32"/>
          <w:szCs w:val="32"/>
        </w:rPr>
      </w:pPr>
      <w:r>
        <w:rPr>
          <w:rFonts w:eastAsia="仿宋_GB2312"/>
          <w:b/>
          <w:bCs/>
          <w:sz w:val="32"/>
          <w:szCs w:val="32"/>
        </w:rPr>
        <w:t>3.资金投入和使用情况</w:t>
      </w:r>
    </w:p>
    <w:p w14:paraId="08B26873">
      <w:pPr>
        <w:spacing w:line="600" w:lineRule="exact"/>
        <w:ind w:firstLine="640" w:firstLineChars="200"/>
        <w:outlineLvl w:val="0"/>
        <w:rPr>
          <w:rFonts w:eastAsia="仿宋_GB2312"/>
          <w:sz w:val="32"/>
          <w:szCs w:val="32"/>
        </w:rPr>
      </w:pPr>
      <w:r>
        <w:rPr>
          <w:rFonts w:eastAsia="仿宋_GB2312"/>
          <w:sz w:val="32"/>
          <w:szCs w:val="32"/>
        </w:rPr>
        <w:t>（1）资金投入情况</w:t>
      </w:r>
    </w:p>
    <w:p w14:paraId="50EF263D">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万元，全年预算数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万元，该项目资金已全部落实到位，资金来源为</w:t>
      </w:r>
      <w:r>
        <w:rPr>
          <w:rFonts w:hint="eastAsia" w:ascii="Times New Roman" w:hAnsi="Times New Roman" w:eastAsia="仿宋_GB2312" w:cs="Times New Roman"/>
          <w:sz w:val="32"/>
          <w:szCs w:val="32"/>
          <w:highlight w:val="none"/>
          <w:lang w:eastAsia="zh-CN"/>
        </w:rPr>
        <w:t>其他资金</w:t>
      </w:r>
      <w:r>
        <w:rPr>
          <w:rFonts w:hint="eastAsia" w:ascii="Times New Roman" w:hAnsi="Times New Roman" w:eastAsia="仿宋_GB2312" w:cs="Times New Roman"/>
          <w:sz w:val="32"/>
          <w:szCs w:val="32"/>
          <w:highlight w:val="none"/>
          <w:lang w:val="en-US" w:eastAsia="zh-CN"/>
        </w:rPr>
        <w:t>收入</w:t>
      </w:r>
      <w:r>
        <w:rPr>
          <w:rFonts w:hint="eastAsia" w:ascii="Times New Roman" w:hAnsi="Times New Roman" w:eastAsia="仿宋_GB2312" w:cs="Times New Roman"/>
          <w:sz w:val="32"/>
          <w:szCs w:val="32"/>
          <w:highlight w:val="none"/>
        </w:rPr>
        <w:t>。</w:t>
      </w:r>
    </w:p>
    <w:p w14:paraId="4727E838">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（2）资金使用情况</w:t>
      </w:r>
    </w:p>
    <w:p w14:paraId="6122B4FF">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万元，全年预算数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万元，全年执行数</w:t>
      </w:r>
      <w:r>
        <w:rPr>
          <w:rFonts w:hint="eastAsia" w:ascii="Times New Roman" w:hAnsi="Times New Roman" w:eastAsia="仿宋_GB2312" w:cs="Times New Roman"/>
          <w:sz w:val="32"/>
          <w:szCs w:val="32"/>
          <w:highlight w:val="none"/>
          <w:lang w:val="en-US" w:eastAsia="zh-CN"/>
        </w:rPr>
        <w:t>208.68</w:t>
      </w:r>
      <w:r>
        <w:rPr>
          <w:rFonts w:hint="eastAsia"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主要用于：</w:t>
      </w:r>
      <w:r>
        <w:rPr>
          <w:rFonts w:hint="eastAsia" w:ascii="Times New Roman" w:hAnsi="Times New Roman" w:eastAsia="仿宋_GB2312" w:cs="Times New Roman"/>
          <w:sz w:val="32"/>
          <w:szCs w:val="32"/>
          <w:highlight w:val="none"/>
          <w:lang w:val="en-US" w:eastAsia="zh-CN"/>
        </w:rPr>
        <w:t>开展医疗服务及其他活动中发生的</w:t>
      </w:r>
      <w:r>
        <w:rPr>
          <w:rFonts w:hint="eastAsia" w:ascii="Times New Roman" w:hAnsi="Times New Roman" w:eastAsia="仿宋_GB2312" w:cs="Times New Roman"/>
          <w:sz w:val="32"/>
          <w:szCs w:val="32"/>
          <w:highlight w:val="none"/>
        </w:rPr>
        <w:t>聘用人员工资</w:t>
      </w:r>
      <w:r>
        <w:rPr>
          <w:rFonts w:hint="eastAsia" w:ascii="Times New Roman" w:hAnsi="Times New Roman" w:eastAsia="仿宋_GB2312" w:cs="Times New Roman"/>
          <w:sz w:val="32"/>
          <w:szCs w:val="32"/>
          <w:highlight w:val="none"/>
          <w:lang w:eastAsia="zh-CN"/>
        </w:rPr>
        <w:t>福利</w:t>
      </w:r>
      <w:r>
        <w:rPr>
          <w:rFonts w:hint="eastAsia" w:ascii="Times New Roman" w:hAnsi="Times New Roman" w:eastAsia="仿宋_GB2312" w:cs="Times New Roman"/>
          <w:sz w:val="32"/>
          <w:szCs w:val="32"/>
          <w:highlight w:val="none"/>
        </w:rPr>
        <w:t>费、卫生材料费、药品</w:t>
      </w:r>
      <w:r>
        <w:rPr>
          <w:rFonts w:hint="eastAsia" w:ascii="Times New Roman" w:hAnsi="Times New Roman" w:eastAsia="仿宋_GB2312" w:cs="Times New Roman"/>
          <w:sz w:val="32"/>
          <w:szCs w:val="32"/>
          <w:highlight w:val="none"/>
          <w:lang w:eastAsia="zh-CN"/>
        </w:rPr>
        <w:t>耗材费</w:t>
      </w:r>
      <w:r>
        <w:rPr>
          <w:rFonts w:hint="eastAsia" w:ascii="Times New Roman" w:hAnsi="Times New Roman" w:eastAsia="仿宋_GB2312" w:cs="Times New Roman"/>
          <w:sz w:val="32"/>
          <w:szCs w:val="32"/>
          <w:highlight w:val="none"/>
        </w:rPr>
        <w:t>、维修维护费、设备购置费、办公费、水电暖、交通费等费用。</w:t>
      </w:r>
    </w:p>
    <w:p w14:paraId="1B0D3C92">
      <w:pPr>
        <w:spacing w:line="560" w:lineRule="exact"/>
        <w:ind w:firstLine="643" w:firstLineChars="200"/>
        <w:rPr>
          <w:rFonts w:eastAsia="楷体_GB2312"/>
          <w:b/>
          <w:bCs/>
          <w:sz w:val="32"/>
          <w:szCs w:val="32"/>
        </w:rPr>
      </w:pPr>
      <w:r>
        <w:rPr>
          <w:rFonts w:eastAsia="楷体_GB2312"/>
          <w:b/>
          <w:bCs/>
          <w:sz w:val="32"/>
          <w:szCs w:val="32"/>
        </w:rPr>
        <w:t>（二）项目绩效目标</w:t>
      </w:r>
    </w:p>
    <w:p w14:paraId="2F18FF7A">
      <w:pPr>
        <w:numPr>
          <w:ilvl w:val="0"/>
          <w:numId w:val="0"/>
        </w:num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14:paraId="284C8998">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color="auto" w:fill="FFFFFF"/>
        </w:rPr>
      </w:pPr>
      <w:r>
        <w:rPr>
          <w:rFonts w:hint="eastAsia" w:ascii="Times New Roman" w:hAnsi="Times New Roman" w:eastAsia="仿宋_GB2312" w:cs="Times New Roman"/>
          <w:sz w:val="32"/>
          <w:szCs w:val="32"/>
          <w:highlight w:val="none"/>
        </w:rPr>
        <w:t>为人</w:t>
      </w:r>
      <w:r>
        <w:rPr>
          <w:rFonts w:hint="eastAsia" w:ascii="Times New Roman" w:hAnsi="Times New Roman" w:eastAsia="仿宋_GB2312" w:cs="Times New Roman"/>
          <w:sz w:val="32"/>
          <w:szCs w:val="32"/>
          <w:highlight w:val="none"/>
          <w:lang w:val="en-US" w:eastAsia="zh-CN"/>
        </w:rPr>
        <w:t>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4BF6033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14:paraId="1D69153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14:paraId="1DA20BE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指标完成值51.63万元/年,完成率39.72%</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30CF0DA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指标完成值51.94万元/年,完成率66.01%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21F77D4B">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14:paraId="088A1E47">
      <w:pPr>
        <w:shd w:val="clear" w:color="auto" w:fill="auto"/>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14:paraId="387B41C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指标完成值88.18万元/年,完成率67.83%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7A5698DC">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指标完成值58.41万元/年,完成率74.24%</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3ACB8C6F">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14:paraId="2EBFB5A7">
      <w:pPr>
        <w:spacing w:line="560" w:lineRule="exact"/>
        <w:ind w:firstLine="640" w:firstLineChars="200"/>
        <w:rPr>
          <w:rFonts w:eastAsia="黑体"/>
          <w:sz w:val="32"/>
          <w:szCs w:val="32"/>
        </w:rPr>
      </w:pPr>
      <w:r>
        <w:rPr>
          <w:rFonts w:eastAsia="黑体"/>
          <w:sz w:val="32"/>
          <w:szCs w:val="32"/>
        </w:rPr>
        <w:t>二、绩效评价工作开展情况</w:t>
      </w:r>
    </w:p>
    <w:p w14:paraId="2DE78816">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3CA350E">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1.绩效评价完整性</w:t>
      </w:r>
    </w:p>
    <w:p w14:paraId="0C84442B">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E3C7205">
      <w:pPr>
        <w:spacing w:line="560" w:lineRule="exact"/>
        <w:ind w:firstLine="640" w:firstLineChars="200"/>
        <w:rPr>
          <w:rFonts w:eastAsia="仿宋_GB2312"/>
          <w:sz w:val="32"/>
          <w:szCs w:val="32"/>
          <w:highlight w:val="green"/>
        </w:rPr>
      </w:pPr>
      <w:r>
        <w:rPr>
          <w:rFonts w:eastAsia="仿宋_GB2312"/>
          <w:sz w:val="32"/>
          <w:szCs w:val="32"/>
          <w:highlight w:val="none"/>
        </w:rPr>
        <w:t>在评价指标体系的构建上，充分考虑了项目的性质、目标以及预期成果，选取了具有代表性和可衡量性的关键指标，涵盖了社会效益</w:t>
      </w:r>
      <w:r>
        <w:rPr>
          <w:rFonts w:hint="eastAsia" w:eastAsia="仿宋_GB2312"/>
          <w:sz w:val="32"/>
          <w:szCs w:val="32"/>
          <w:highlight w:val="none"/>
          <w:lang w:eastAsia="zh-CN"/>
        </w:rPr>
        <w:t>，</w:t>
      </w:r>
      <w:r>
        <w:rPr>
          <w:rFonts w:hint="eastAsia" w:eastAsia="仿宋_GB2312"/>
          <w:sz w:val="32"/>
          <w:szCs w:val="32"/>
          <w:highlight w:val="none"/>
          <w:lang w:val="en-US" w:eastAsia="zh-CN"/>
        </w:rPr>
        <w:t>生态效益</w:t>
      </w:r>
      <w:r>
        <w:rPr>
          <w:rFonts w:eastAsia="仿宋_GB2312"/>
          <w:sz w:val="32"/>
          <w:szCs w:val="32"/>
          <w:highlight w:val="none"/>
        </w:rPr>
        <w:t>等多个维度，力求全方位反映项目的绩效状况。同时，对于每个指标的评价标准和数据来源均进行了明确说明，确保评价结果的客观性和可追溯性。</w:t>
      </w:r>
    </w:p>
    <w:p w14:paraId="4C339E47">
      <w:pPr>
        <w:spacing w:line="560" w:lineRule="exact"/>
        <w:ind w:firstLine="640" w:firstLineChars="200"/>
        <w:rPr>
          <w:rFonts w:eastAsia="仿宋_GB2312"/>
          <w:sz w:val="32"/>
          <w:szCs w:val="32"/>
          <w:highlight w:val="none"/>
        </w:rPr>
      </w:pPr>
      <w:r>
        <w:rPr>
          <w:rFonts w:eastAsia="仿宋_GB2312"/>
          <w:sz w:val="32"/>
          <w:szCs w:val="32"/>
          <w:highlight w:val="none"/>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5F8F3B0">
      <w:pPr>
        <w:spacing w:line="560" w:lineRule="exact"/>
        <w:ind w:firstLine="640" w:firstLineChars="200"/>
        <w:rPr>
          <w:rFonts w:eastAsia="仿宋_GB2312"/>
          <w:sz w:val="32"/>
          <w:szCs w:val="32"/>
          <w:highlight w:val="none"/>
        </w:rPr>
      </w:pPr>
      <w:r>
        <w:rPr>
          <w:rFonts w:eastAsia="仿宋_GB2312"/>
          <w:sz w:val="32"/>
          <w:szCs w:val="32"/>
          <w:highlight w:val="none"/>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7B307DC">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4B797D56">
      <w:pPr>
        <w:spacing w:line="560" w:lineRule="exact"/>
        <w:ind w:firstLine="640" w:firstLineChars="200"/>
        <w:rPr>
          <w:rFonts w:eastAsia="仿宋_GB2312"/>
          <w:sz w:val="32"/>
          <w:szCs w:val="32"/>
        </w:rPr>
      </w:pPr>
      <w:r>
        <w:rPr>
          <w:rFonts w:eastAsia="仿宋_GB2312"/>
          <w:sz w:val="32"/>
          <w:szCs w:val="32"/>
        </w:rPr>
        <w:t>2.绩效评价的目的</w:t>
      </w:r>
    </w:p>
    <w:p w14:paraId="35E8B13E">
      <w:pPr>
        <w:spacing w:line="560" w:lineRule="exact"/>
        <w:ind w:firstLine="640" w:firstLineChars="200"/>
        <w:rPr>
          <w:rFonts w:eastAsia="仿宋_GB2312"/>
          <w:sz w:val="32"/>
          <w:szCs w:val="32"/>
          <w:highlight w:val="none"/>
        </w:rPr>
      </w:pPr>
      <w:r>
        <w:rPr>
          <w:rFonts w:eastAsia="仿宋_GB2312"/>
          <w:sz w:val="32"/>
          <w:szCs w:val="32"/>
          <w:highlight w:val="none"/>
        </w:rPr>
        <w:t>（1）评估项目实施效果</w:t>
      </w:r>
    </w:p>
    <w:p w14:paraId="7D87B3B6">
      <w:pPr>
        <w:spacing w:line="560" w:lineRule="exact"/>
        <w:ind w:firstLine="640" w:firstLineChars="200"/>
        <w:rPr>
          <w:rFonts w:eastAsia="仿宋_GB2312"/>
          <w:sz w:val="32"/>
          <w:szCs w:val="32"/>
          <w:highlight w:val="none"/>
        </w:rPr>
      </w:pPr>
      <w:r>
        <w:rPr>
          <w:rFonts w:eastAsia="仿宋_GB2312"/>
          <w:sz w:val="32"/>
          <w:szCs w:val="32"/>
          <w:highlight w:val="none"/>
        </w:rPr>
        <w:t>通过对项目预算执行情况及各项绩效目标达成程度的系统性分析，全面、客观地评估项目在预定周期内的实施效果，包括社会效益</w:t>
      </w:r>
      <w:r>
        <w:rPr>
          <w:rFonts w:hint="eastAsia" w:eastAsia="仿宋_GB2312"/>
          <w:sz w:val="32"/>
          <w:szCs w:val="32"/>
          <w:highlight w:val="none"/>
          <w:lang w:eastAsia="zh-CN"/>
        </w:rPr>
        <w:t>、</w:t>
      </w:r>
      <w:r>
        <w:rPr>
          <w:rFonts w:hint="eastAsia" w:eastAsia="仿宋_GB2312"/>
          <w:sz w:val="32"/>
          <w:szCs w:val="32"/>
          <w:highlight w:val="none"/>
          <w:lang w:val="en-US" w:eastAsia="zh-CN"/>
        </w:rPr>
        <w:t>生态效益</w:t>
      </w:r>
      <w:r>
        <w:rPr>
          <w:rFonts w:eastAsia="仿宋_GB2312"/>
          <w:sz w:val="32"/>
          <w:szCs w:val="32"/>
          <w:highlight w:val="none"/>
        </w:rPr>
        <w:t>以及可持续性等多维度指标，为项目后续的改进与优化提供科学依据。</w:t>
      </w:r>
    </w:p>
    <w:p w14:paraId="7C897929">
      <w:pPr>
        <w:spacing w:line="560" w:lineRule="exact"/>
        <w:ind w:firstLine="640" w:firstLineChars="200"/>
        <w:rPr>
          <w:rFonts w:eastAsia="仿宋_GB2312"/>
          <w:sz w:val="32"/>
          <w:szCs w:val="32"/>
          <w:highlight w:val="none"/>
        </w:rPr>
      </w:pPr>
      <w:r>
        <w:rPr>
          <w:rFonts w:eastAsia="仿宋_GB2312"/>
          <w:sz w:val="32"/>
          <w:szCs w:val="32"/>
          <w:highlight w:val="none"/>
        </w:rPr>
        <w:t>（2）提升资源利用效率</w:t>
      </w:r>
    </w:p>
    <w:p w14:paraId="1C04D3D7">
      <w:pPr>
        <w:spacing w:line="560" w:lineRule="exact"/>
        <w:ind w:firstLine="640" w:firstLineChars="200"/>
        <w:rPr>
          <w:rFonts w:eastAsia="仿宋_GB2312"/>
          <w:sz w:val="32"/>
          <w:szCs w:val="32"/>
          <w:highlight w:val="none"/>
        </w:rPr>
      </w:pPr>
      <w:r>
        <w:rPr>
          <w:rFonts w:eastAsia="仿宋_GB2312"/>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1C913D5">
      <w:pPr>
        <w:spacing w:line="560" w:lineRule="exact"/>
        <w:ind w:firstLine="640" w:firstLineChars="200"/>
        <w:rPr>
          <w:rFonts w:eastAsia="仿宋_GB2312"/>
          <w:sz w:val="32"/>
          <w:szCs w:val="32"/>
          <w:highlight w:val="none"/>
        </w:rPr>
      </w:pPr>
      <w:r>
        <w:rPr>
          <w:rFonts w:eastAsia="仿宋_GB2312"/>
          <w:sz w:val="32"/>
          <w:szCs w:val="32"/>
          <w:highlight w:val="none"/>
        </w:rPr>
        <w:t>（3）强化项目管理责任</w:t>
      </w:r>
    </w:p>
    <w:p w14:paraId="2AD53AE0">
      <w:pPr>
        <w:spacing w:line="560" w:lineRule="exact"/>
        <w:ind w:firstLine="640" w:firstLineChars="200"/>
        <w:rPr>
          <w:rFonts w:eastAsia="仿宋_GB2312"/>
          <w:sz w:val="32"/>
          <w:szCs w:val="32"/>
          <w:highlight w:val="none"/>
        </w:rPr>
      </w:pPr>
      <w:r>
        <w:rPr>
          <w:rFonts w:eastAsia="仿宋_GB2312"/>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97C08EE">
      <w:pPr>
        <w:spacing w:line="560" w:lineRule="exact"/>
        <w:ind w:firstLine="640" w:firstLineChars="200"/>
        <w:rPr>
          <w:rFonts w:eastAsia="仿宋_GB2312"/>
          <w:sz w:val="32"/>
          <w:szCs w:val="32"/>
          <w:highlight w:val="none"/>
        </w:rPr>
      </w:pPr>
      <w:r>
        <w:rPr>
          <w:rFonts w:eastAsia="仿宋_GB2312"/>
          <w:sz w:val="32"/>
          <w:szCs w:val="32"/>
          <w:highlight w:val="none"/>
        </w:rPr>
        <w:t>（4）为决策提供支持</w:t>
      </w:r>
    </w:p>
    <w:p w14:paraId="5D64A5C5">
      <w:pPr>
        <w:spacing w:line="560" w:lineRule="exact"/>
        <w:ind w:firstLine="640" w:firstLineChars="200"/>
        <w:rPr>
          <w:rFonts w:eastAsia="仿宋_GB2312"/>
          <w:sz w:val="32"/>
          <w:szCs w:val="32"/>
          <w:highlight w:val="none"/>
        </w:rPr>
      </w:pPr>
      <w:r>
        <w:rPr>
          <w:rFonts w:eastAsia="仿宋_GB2312"/>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9036CFC">
      <w:pPr>
        <w:spacing w:line="560" w:lineRule="exact"/>
        <w:ind w:firstLine="640" w:firstLineChars="200"/>
        <w:rPr>
          <w:rFonts w:eastAsia="仿宋_GB2312"/>
          <w:sz w:val="32"/>
          <w:szCs w:val="32"/>
          <w:highlight w:val="none"/>
        </w:rPr>
      </w:pPr>
      <w:r>
        <w:rPr>
          <w:rFonts w:eastAsia="仿宋_GB2312"/>
          <w:sz w:val="32"/>
          <w:szCs w:val="32"/>
          <w:highlight w:val="none"/>
        </w:rPr>
        <w:t>（5）促进项目持续改进</w:t>
      </w:r>
    </w:p>
    <w:p w14:paraId="6D0EBBAD">
      <w:pPr>
        <w:spacing w:line="560" w:lineRule="exact"/>
        <w:ind w:firstLine="640" w:firstLineChars="200"/>
        <w:rPr>
          <w:rFonts w:eastAsia="仿宋_GB2312"/>
          <w:sz w:val="32"/>
          <w:szCs w:val="32"/>
          <w:highlight w:val="none"/>
        </w:rPr>
      </w:pPr>
      <w:r>
        <w:rPr>
          <w:rFonts w:eastAsia="仿宋_GB2312"/>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65B2F91">
      <w:pPr>
        <w:spacing w:line="560" w:lineRule="exact"/>
        <w:ind w:firstLine="640" w:firstLineChars="200"/>
        <w:rPr>
          <w:rFonts w:eastAsia="方正仿宋_GBK"/>
          <w:sz w:val="32"/>
          <w:szCs w:val="32"/>
          <w:highlight w:val="green"/>
        </w:rPr>
      </w:pPr>
      <w:r>
        <w:rPr>
          <w:rFonts w:eastAsia="仿宋_GB2312"/>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3E251C5">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14:paraId="4AA0B04C">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本项目预算绩效评价报告的评价对象是</w:t>
      </w:r>
      <w:r>
        <w:rPr>
          <w:rFonts w:hint="eastAsia" w:ascii="Times New Roman" w:hAnsi="Times New Roman" w:eastAsia="仿宋_GB2312" w:cs="Times New Roman"/>
          <w:b w:val="0"/>
          <w:bCs w:val="0"/>
          <w:lang w:val="en-US" w:eastAsia="zh-CN"/>
        </w:rPr>
        <w:t>2024年单位自有资金收入（事业收入）项目</w:t>
      </w:r>
      <w:r>
        <w:rPr>
          <w:rFonts w:hint="default" w:ascii="Times New Roman" w:hAnsi="Times New Roman" w:eastAsia="仿宋_GB2312" w:cs="Times New Roman"/>
          <w:b w:val="0"/>
          <w:bCs w:val="0"/>
        </w:rPr>
        <w:t>及其预算执行情况。该项目由</w:t>
      </w:r>
      <w:r>
        <w:rPr>
          <w:rFonts w:hint="eastAsia" w:ascii="Times New Roman" w:hAnsi="Times New Roman" w:eastAsia="仿宋_GB2312" w:cs="Times New Roman"/>
          <w:b w:val="0"/>
          <w:bCs w:val="0"/>
          <w:lang w:val="en-US" w:eastAsia="zh-CN"/>
        </w:rPr>
        <w:t>特克斯县特克斯镇卫生院</w:t>
      </w:r>
      <w:r>
        <w:rPr>
          <w:rFonts w:hint="default" w:ascii="Times New Roman" w:hAnsi="Times New Roman" w:eastAsia="仿宋_GB2312" w:cs="Times New Roman"/>
          <w:b w:val="0"/>
          <w:bCs w:val="0"/>
        </w:rPr>
        <w:t>负责实施，旨在</w:t>
      </w:r>
      <w:r>
        <w:rPr>
          <w:rFonts w:hint="eastAsia" w:ascii="Times New Roman" w:hAnsi="Times New Roman" w:eastAsia="仿宋_GB2312" w:cs="Times New Roman"/>
          <w:b w:val="0"/>
          <w:bCs w:val="0"/>
          <w:lang w:val="en-US" w:eastAsia="zh-CN"/>
        </w:rPr>
        <w:t>提高编外人员工作积极性：有效提高；提高职工日常工作效率和质量：项目预算涵盖从起始日期2024年1月1日至2024年12月31日全部资金投入与支出，涉及资金总额为208.68万元。</w:t>
      </w:r>
    </w:p>
    <w:p w14:paraId="2AEB65CA">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14:paraId="072E376A">
      <w:pPr>
        <w:pStyle w:val="11"/>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本项目预算绩效评价报告的评价范围广泛而全面，涵盖了从项目立项至评价时点期间的所有关键预算活动和财务流程。具体而言，评价范围包括但不限于以下几个方面：</w:t>
      </w:r>
    </w:p>
    <w:p w14:paraId="74AA43FF">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项目预算编制与执行：全面审视项目预算的编制依据、合理性、科学性以及实际执行情况，包括预算调整的原因和效果。</w:t>
      </w:r>
    </w:p>
    <w:p w14:paraId="7BDEB1D5">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资金管理：深入分析项目资金的分配、使用和监管情况，确保资金使用的合规性、高效性和透明度。</w:t>
      </w:r>
    </w:p>
    <w:p w14:paraId="603B96C7">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项目实施进度与产出：评估项目是否按照既定计划顺利推进，各项任务是否按时完成，以及项目产出的数量、质量和时效性是否符合预期。</w:t>
      </w:r>
    </w:p>
    <w:p w14:paraId="428B9659">
      <w:pPr>
        <w:pStyle w:val="11"/>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社会、</w:t>
      </w:r>
      <w:r>
        <w:rPr>
          <w:rFonts w:hint="eastAsia" w:ascii="Times New Roman" w:hAnsi="Times New Roman" w:eastAsia="仿宋_GB2312"/>
          <w:b w:val="0"/>
          <w:bCs w:val="0"/>
          <w:highlight w:val="none"/>
        </w:rPr>
        <w:t>生态</w:t>
      </w:r>
      <w:r>
        <w:rPr>
          <w:rFonts w:ascii="Times New Roman" w:hAnsi="Times New Roman" w:eastAsia="仿宋_GB2312"/>
          <w:b w:val="0"/>
          <w:bCs w:val="0"/>
          <w:highlight w:val="none"/>
        </w:rPr>
        <w:t>等影响：</w:t>
      </w:r>
      <w:r>
        <w:rPr>
          <w:rFonts w:hint="eastAsia" w:ascii="Times New Roman" w:hAnsi="Times New Roman" w:eastAsia="仿宋_GB2312"/>
          <w:b w:val="0"/>
          <w:bCs w:val="0"/>
          <w:highlight w:val="none"/>
          <w:lang w:val="en-US" w:eastAsia="zh-CN"/>
        </w:rPr>
        <w:t>医疗水平提高，缩小城乡医疗差距</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医疗服务面广，保障了医疗服务便捷，达到患者满意。</w:t>
      </w:r>
    </w:p>
    <w:p w14:paraId="7A0F425B">
      <w:pPr>
        <w:spacing w:line="560" w:lineRule="exact"/>
        <w:ind w:firstLine="643" w:firstLineChars="200"/>
      </w:pPr>
      <w:r>
        <w:rPr>
          <w:rFonts w:eastAsia="楷体_GB2312"/>
          <w:b/>
          <w:bCs/>
          <w:sz w:val="32"/>
          <w:szCs w:val="32"/>
        </w:rPr>
        <w:t>（二）绩效评价原则、评价指标体系（详情见表1）、评价方法、评价标准。</w:t>
      </w:r>
    </w:p>
    <w:p w14:paraId="53339A95">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1.绩效评价原则</w:t>
      </w:r>
    </w:p>
    <w:p w14:paraId="02D3F10D">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本次项目绩效评价遵循以下基本原则：</w:t>
      </w:r>
    </w:p>
    <w:p w14:paraId="6608200A">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14:paraId="50158C9E">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14:paraId="36E0EB0A">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14:paraId="63D9DADE">
      <w:pPr>
        <w:pStyle w:val="11"/>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14:paraId="6F04E87E">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2.评价指标体系</w:t>
      </w:r>
    </w:p>
    <w:p w14:paraId="6164C557">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7449B66C">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（1）确定评价指标</w:t>
      </w:r>
    </w:p>
    <w:p w14:paraId="0F0ED955">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024F0554">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（2）确定权重</w:t>
      </w:r>
    </w:p>
    <w:p w14:paraId="2654EB2E">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1FB8B481">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（3）确定指标标准值</w:t>
      </w:r>
    </w:p>
    <w:p w14:paraId="25D8AB8A">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14:paraId="5FD5E30E">
      <w:pPr>
        <w:pStyle w:val="11"/>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14:paraId="1038DBCE">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具体评价指标体系详情见附件1</w:t>
      </w:r>
    </w:p>
    <w:p w14:paraId="478A4C7A">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3.绩效评价方法</w:t>
      </w:r>
    </w:p>
    <w:p w14:paraId="5FD2014B">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14:paraId="288C0061">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14:paraId="4D8B294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ascii="Times New Roman" w:hAnsi="Times New Roman" w:eastAsia="仿宋_GB2312" w:cs="Times New Roman"/>
          <w:b w:val="0"/>
          <w:bCs w:val="0"/>
          <w:kern w:val="2"/>
          <w:sz w:val="32"/>
          <w:szCs w:val="32"/>
          <w:highlight w:val="none"/>
          <w:lang w:val="en-US" w:eastAsia="zh-CN" w:bidi="ar-SA"/>
        </w:rPr>
        <w:t>）因素分析法。</w:t>
      </w:r>
      <w:r>
        <w:rPr>
          <w:rFonts w:hint="default" w:ascii="Times New Roman" w:hAnsi="Times New Roman" w:eastAsia="仿宋_GB2312" w:cs="Times New Roman"/>
          <w:b w:val="0"/>
          <w:bCs w:val="0"/>
          <w:kern w:val="2"/>
          <w:sz w:val="32"/>
          <w:szCs w:val="32"/>
          <w:highlight w:val="none"/>
          <w:lang w:val="en-US" w:eastAsia="zh-CN" w:bidi="ar-SA"/>
        </w:rPr>
        <w:t>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14:paraId="5E40CF9A">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4.评价标准</w:t>
      </w:r>
    </w:p>
    <w:p w14:paraId="55AFF7AC">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ascii="Times New Roman" w:hAnsi="Times New Roman" w:eastAsia="仿宋_GB2312" w:cs="Times New Roman"/>
          <w:b w:val="0"/>
          <w:bCs w:val="0"/>
          <w:kern w:val="2"/>
          <w:sz w:val="32"/>
          <w:szCs w:val="32"/>
          <w:highlight w:val="none"/>
          <w:lang w:val="en-US" w:eastAsia="zh-CN" w:bidi="ar-SA"/>
        </w:rPr>
        <w:t>标准。</w:t>
      </w:r>
    </w:p>
    <w:p w14:paraId="271244C1">
      <w:pPr>
        <w:pStyle w:val="11"/>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14:paraId="6FFE06B7">
      <w:pPr>
        <w:pStyle w:val="11"/>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66D23779">
      <w:pPr>
        <w:spacing w:line="560" w:lineRule="exact"/>
        <w:ind w:firstLine="640" w:firstLineChars="200"/>
        <w:rPr>
          <w:rFonts w:eastAsia="仿宋_GB2312"/>
          <w:sz w:val="32"/>
          <w:szCs w:val="32"/>
          <w:highlight w:val="none"/>
        </w:rPr>
      </w:pPr>
      <w:r>
        <w:rPr>
          <w:rFonts w:eastAsia="仿宋_GB2312"/>
          <w:sz w:val="32"/>
          <w:szCs w:val="32"/>
          <w:highlight w:val="none"/>
        </w:rPr>
        <w:t>（1）前期准备与规划</w:t>
      </w:r>
    </w:p>
    <w:p w14:paraId="0E69D1ED">
      <w:pPr>
        <w:spacing w:line="560" w:lineRule="exact"/>
        <w:ind w:firstLine="640" w:firstLineChars="200"/>
        <w:rPr>
          <w:rFonts w:eastAsia="仿宋_GB2312"/>
          <w:sz w:val="32"/>
          <w:szCs w:val="32"/>
          <w:highlight w:val="none"/>
        </w:rPr>
      </w:pPr>
      <w:r>
        <w:rPr>
          <w:rFonts w:eastAsia="仿宋_GB2312"/>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1151C319">
      <w:pPr>
        <w:spacing w:line="560" w:lineRule="exact"/>
        <w:ind w:firstLine="640" w:firstLineChars="200"/>
        <w:rPr>
          <w:rFonts w:eastAsia="仿宋_GB2312"/>
          <w:sz w:val="32"/>
          <w:szCs w:val="32"/>
          <w:highlight w:val="none"/>
        </w:rPr>
      </w:pPr>
      <w:r>
        <w:rPr>
          <w:rFonts w:eastAsia="仿宋_GB2312"/>
          <w:sz w:val="32"/>
          <w:szCs w:val="32"/>
          <w:highlight w:val="none"/>
        </w:rPr>
        <w:t>（2）指标体系构建</w:t>
      </w:r>
    </w:p>
    <w:p w14:paraId="0CD00005">
      <w:pPr>
        <w:spacing w:line="560" w:lineRule="exact"/>
        <w:ind w:firstLine="640" w:firstLineChars="200"/>
        <w:rPr>
          <w:rFonts w:eastAsia="仿宋_GB2312"/>
          <w:sz w:val="32"/>
          <w:szCs w:val="32"/>
          <w:highlight w:val="none"/>
        </w:rPr>
      </w:pPr>
      <w:r>
        <w:rPr>
          <w:rFonts w:eastAsia="仿宋_GB2312"/>
          <w:sz w:val="32"/>
          <w:szCs w:val="32"/>
          <w:highlight w:val="none"/>
        </w:rPr>
        <w:t>依据项目的性质、目标以及预期成果，构建了科学合理的绩效评价指标体系。该指标体系涵盖了</w:t>
      </w:r>
      <w:r>
        <w:rPr>
          <w:rFonts w:eastAsia="仿宋_GB2312"/>
          <w:color w:val="000000"/>
          <w:spacing w:val="17"/>
          <w:sz w:val="32"/>
          <w:szCs w:val="32"/>
          <w:highlight w:val="none"/>
        </w:rPr>
        <w:t>项目决策、项目过程、项目产出、项目效益四个维度</w:t>
      </w:r>
      <w:r>
        <w:rPr>
          <w:rFonts w:eastAsia="仿宋_GB2312"/>
          <w:sz w:val="32"/>
          <w:szCs w:val="32"/>
          <w:highlight w:val="none"/>
        </w:rPr>
        <w:t>，选取了具有代表性和可衡量性的关键指标，并为每个指标设定了明确的评价标准与权重，确保评价结果能够全面、准确地反映项目的绩效状况。</w:t>
      </w:r>
    </w:p>
    <w:p w14:paraId="41646289">
      <w:pPr>
        <w:spacing w:line="560" w:lineRule="exact"/>
        <w:ind w:firstLine="640" w:firstLineChars="200"/>
        <w:rPr>
          <w:rFonts w:eastAsia="仿宋_GB2312"/>
          <w:sz w:val="32"/>
          <w:szCs w:val="32"/>
          <w:highlight w:val="none"/>
        </w:rPr>
      </w:pPr>
      <w:r>
        <w:rPr>
          <w:rFonts w:eastAsia="仿宋_GB2312"/>
          <w:sz w:val="32"/>
          <w:szCs w:val="32"/>
          <w:highlight w:val="none"/>
        </w:rPr>
        <w:t>（3）数据收集与整理</w:t>
      </w:r>
    </w:p>
    <w:p w14:paraId="0351504C">
      <w:pPr>
        <w:spacing w:line="560" w:lineRule="exact"/>
        <w:ind w:firstLine="640" w:firstLineChars="200"/>
        <w:rPr>
          <w:rFonts w:eastAsia="仿宋_GB2312"/>
          <w:sz w:val="32"/>
          <w:szCs w:val="32"/>
          <w:highlight w:val="none"/>
        </w:rPr>
      </w:pPr>
      <w:r>
        <w:rPr>
          <w:rFonts w:eastAsia="仿宋_GB2312"/>
          <w:sz w:val="32"/>
          <w:szCs w:val="32"/>
          <w:highlight w:val="none"/>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5DC5414">
      <w:pPr>
        <w:spacing w:line="560" w:lineRule="exact"/>
        <w:ind w:firstLine="640" w:firstLineChars="200"/>
        <w:rPr>
          <w:rFonts w:eastAsia="仿宋_GB2312"/>
          <w:sz w:val="32"/>
          <w:szCs w:val="32"/>
          <w:highlight w:val="none"/>
        </w:rPr>
      </w:pPr>
      <w:r>
        <w:rPr>
          <w:rFonts w:eastAsia="仿宋_GB2312"/>
          <w:sz w:val="32"/>
          <w:szCs w:val="32"/>
          <w:highlight w:val="none"/>
        </w:rPr>
        <w:t>（4）数据分析与评估</w:t>
      </w:r>
    </w:p>
    <w:p w14:paraId="6EBAEE87">
      <w:pPr>
        <w:spacing w:line="560" w:lineRule="exact"/>
        <w:ind w:firstLine="640" w:firstLineChars="200"/>
        <w:rPr>
          <w:rFonts w:eastAsia="仿宋_GB2312"/>
          <w:sz w:val="32"/>
          <w:szCs w:val="32"/>
          <w:highlight w:val="none"/>
        </w:rPr>
      </w:pPr>
      <w:r>
        <w:rPr>
          <w:rFonts w:eastAsia="仿宋_GB2312"/>
          <w:sz w:val="32"/>
          <w:szCs w:val="32"/>
          <w:highlight w:val="none"/>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9B0A262">
      <w:pPr>
        <w:spacing w:line="560" w:lineRule="exact"/>
        <w:ind w:firstLine="640" w:firstLineChars="200"/>
        <w:rPr>
          <w:rFonts w:eastAsia="仿宋_GB2312"/>
          <w:sz w:val="32"/>
          <w:szCs w:val="32"/>
          <w:highlight w:val="none"/>
        </w:rPr>
      </w:pPr>
      <w:r>
        <w:rPr>
          <w:rFonts w:eastAsia="仿宋_GB2312"/>
          <w:sz w:val="32"/>
          <w:szCs w:val="32"/>
          <w:highlight w:val="none"/>
        </w:rPr>
        <w:t>（5）报告撰写与反馈</w:t>
      </w:r>
    </w:p>
    <w:p w14:paraId="2A0000BF">
      <w:pPr>
        <w:spacing w:line="560" w:lineRule="exact"/>
        <w:ind w:firstLine="640" w:firstLineChars="200"/>
        <w:rPr>
          <w:rFonts w:eastAsia="仿宋_GB2312"/>
          <w:sz w:val="32"/>
          <w:szCs w:val="32"/>
          <w:highlight w:val="none"/>
        </w:rPr>
      </w:pPr>
      <w:r>
        <w:rPr>
          <w:rFonts w:eastAsia="仿宋_GB2312"/>
          <w:sz w:val="32"/>
          <w:szCs w:val="32"/>
          <w:highlight w:val="none"/>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2EB854C">
      <w:pPr>
        <w:spacing w:line="560" w:lineRule="exact"/>
        <w:ind w:firstLine="640" w:firstLineChars="200"/>
        <w:rPr>
          <w:rFonts w:eastAsia="仿宋_GB2312"/>
          <w:sz w:val="32"/>
          <w:szCs w:val="32"/>
          <w:highlight w:val="none"/>
        </w:rPr>
      </w:pPr>
      <w:r>
        <w:rPr>
          <w:rFonts w:eastAsia="仿宋_GB2312"/>
          <w:sz w:val="32"/>
          <w:szCs w:val="32"/>
          <w:highlight w:val="none"/>
        </w:rPr>
        <w:t>（6）后续跟踪与改进</w:t>
      </w:r>
    </w:p>
    <w:p w14:paraId="0E53516E">
      <w:pPr>
        <w:spacing w:line="560" w:lineRule="exact"/>
        <w:ind w:firstLine="640" w:firstLineChars="200"/>
        <w:rPr>
          <w:rFonts w:eastAsia="仿宋_GB2312"/>
          <w:sz w:val="32"/>
          <w:szCs w:val="32"/>
          <w:highlight w:val="none"/>
        </w:rPr>
      </w:pPr>
      <w:r>
        <w:rPr>
          <w:rFonts w:eastAsia="仿宋_GB2312"/>
          <w:sz w:val="32"/>
          <w:szCs w:val="32"/>
          <w:highlight w:val="none"/>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2E01B724">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3D923BD4">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14:paraId="5C43AF86">
      <w:pPr>
        <w:spacing w:line="560" w:lineRule="exact"/>
        <w:ind w:firstLine="640" w:firstLineChars="200"/>
        <w:rPr>
          <w:rFonts w:hint="eastAsia" w:ascii="Times New Roman" w:hAnsi="Times New Roman" w:eastAsia="仿宋_GB2312" w:cs="Times New Roman"/>
          <w:color w:val="000000"/>
          <w:spacing w:val="17"/>
          <w:sz w:val="32"/>
          <w:szCs w:val="32"/>
          <w:highlight w:val="none"/>
          <w:lang w:val="en-US" w:eastAsia="zh-CN"/>
        </w:rPr>
      </w:pPr>
      <w:r>
        <w:rPr>
          <w:rFonts w:eastAsia="仿宋_GB2312"/>
          <w:sz w:val="32"/>
          <w:szCs w:val="32"/>
          <w:highlight w:val="none"/>
        </w:rPr>
        <w:t>本项目的综合评价基于对项目各方面绩效的深入分析与评估。从项目目标的达成情况来看，</w:t>
      </w:r>
      <w:r>
        <w:rPr>
          <w:rFonts w:hint="eastAsia" w:eastAsia="仿宋_GB2312"/>
          <w:sz w:val="32"/>
          <w:szCs w:val="32"/>
          <w:highlight w:val="none"/>
          <w:lang w:val="en-US" w:eastAsia="zh-CN"/>
        </w:rPr>
        <w:t>项目2024年单位自有资金（事业收入）</w:t>
      </w:r>
      <w:r>
        <w:rPr>
          <w:rFonts w:hint="eastAsia" w:eastAsia="仿宋_GB2312" w:cs="Times New Roman"/>
          <w:b w:val="0"/>
          <w:bCs w:val="0"/>
          <w:kern w:val="28"/>
          <w:sz w:val="32"/>
          <w:szCs w:val="32"/>
          <w:highlight w:val="none"/>
          <w:lang w:val="en-US" w:eastAsia="zh-CN" w:bidi="ar-SA"/>
        </w:rPr>
        <w:t>对</w:t>
      </w:r>
      <w:r>
        <w:rPr>
          <w:rFonts w:hint="eastAsia" w:ascii="宋体" w:hAnsi="宋体" w:eastAsia="宋体" w:cs="宋体"/>
          <w:i w:val="0"/>
          <w:iCs w:val="0"/>
          <w:caps w:val="0"/>
          <w:color w:val="333333"/>
          <w:spacing w:val="0"/>
          <w:sz w:val="28"/>
          <w:szCs w:val="28"/>
          <w:highlight w:val="none"/>
          <w:shd w:val="clear" w:color="auto" w:fill="FFFFFF"/>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eastAsia="仿宋_GB2312" w:cs="Times New Roman"/>
          <w:sz w:val="32"/>
          <w:szCs w:val="32"/>
          <w:highlight w:val="none"/>
          <w:lang w:val="en-US" w:eastAsia="zh-CN"/>
        </w:rPr>
        <w:t>同时，项目也在提</w:t>
      </w:r>
      <w:r>
        <w:rPr>
          <w:rFonts w:hint="eastAsia" w:ascii="宋体" w:hAnsi="宋体" w:eastAsia="宋体" w:cs="宋体"/>
          <w:i w:val="0"/>
          <w:iCs w:val="0"/>
          <w:caps w:val="0"/>
          <w:color w:val="333333"/>
          <w:spacing w:val="0"/>
          <w:sz w:val="28"/>
          <w:szCs w:val="28"/>
          <w:highlight w:val="none"/>
          <w:shd w:val="clear" w:color="auto" w:fill="FFFFFF"/>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宋体" w:hAnsi="宋体" w:eastAsia="宋体" w:cs="宋体"/>
          <w:i w:val="0"/>
          <w:iCs w:val="0"/>
          <w:caps w:val="0"/>
          <w:color w:val="333333"/>
          <w:spacing w:val="0"/>
          <w:sz w:val="28"/>
          <w:szCs w:val="28"/>
          <w:highlight w:val="none"/>
          <w:shd w:val="clear" w:color="auto" w:fill="FFFFFF"/>
        </w:rPr>
        <w:t>单位职工满意度：</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14:paraId="0FD3CD4A">
      <w:pPr>
        <w:pStyle w:val="10"/>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在项目管理方面，</w:t>
      </w:r>
      <w:r>
        <w:rPr>
          <w:rFonts w:hint="eastAsia" w:eastAsia="仿宋_GB2312"/>
          <w:sz w:val="32"/>
          <w:szCs w:val="32"/>
          <w:highlight w:val="none"/>
          <w:lang w:val="en-US" w:eastAsia="zh-CN"/>
        </w:rPr>
        <w:t>特克斯县特克斯镇卫生院</w:t>
      </w:r>
      <w:r>
        <w:rPr>
          <w:rFonts w:eastAsia="仿宋_GB2312"/>
          <w:sz w:val="32"/>
          <w:szCs w:val="32"/>
          <w:highlight w:val="none"/>
        </w:rPr>
        <w:t>通过有效的规划、组织与协调，项目得以顺利实施，并在预算与时间上保持了良好的控制。</w:t>
      </w:r>
    </w:p>
    <w:p w14:paraId="1B1C7512">
      <w:pPr>
        <w:pStyle w:val="10"/>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highlight w:val="none"/>
        </w:rPr>
        <w:t>从项目效益的角度来看，本项目不仅实现了预期的社会效益、</w:t>
      </w:r>
      <w:r>
        <w:rPr>
          <w:rFonts w:hint="eastAsia" w:eastAsia="仿宋_GB2312"/>
          <w:sz w:val="32"/>
          <w:szCs w:val="32"/>
          <w:highlight w:val="none"/>
        </w:rPr>
        <w:t>生态</w:t>
      </w:r>
      <w:r>
        <w:rPr>
          <w:rFonts w:eastAsia="仿宋_GB2312"/>
          <w:sz w:val="32"/>
          <w:szCs w:val="32"/>
          <w:highlight w:val="none"/>
        </w:rPr>
        <w:t>效益方面产生了积极的影响。具体而言，</w:t>
      </w:r>
      <w:r>
        <w:rPr>
          <w:rFonts w:hint="default" w:ascii="Times New Roman" w:hAnsi="Times New Roman" w:eastAsia="仿宋_GB2312" w:cs="Times New Roman"/>
          <w:sz w:val="32"/>
          <w:szCs w:val="32"/>
          <w:highlight w:val="none"/>
        </w:rPr>
        <w:t>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508BB415">
      <w:pPr>
        <w:pStyle w:val="10"/>
        <w:widowControl/>
        <w:spacing w:beforeAutospacing="0" w:afterAutospacing="0" w:line="560" w:lineRule="exact"/>
        <w:ind w:firstLine="640" w:firstLineChars="200"/>
        <w:rPr>
          <w:highlight w:val="none"/>
        </w:rPr>
      </w:pPr>
      <w:r>
        <w:rPr>
          <w:rFonts w:eastAsia="仿宋_GB2312"/>
          <w:sz w:val="32"/>
          <w:szCs w:val="32"/>
          <w:highlight w:val="none"/>
        </w:rPr>
        <w:t>综上所述，</w:t>
      </w:r>
      <w:r>
        <w:rPr>
          <w:rFonts w:hint="eastAsia" w:eastAsia="仿宋_GB2312"/>
          <w:sz w:val="32"/>
          <w:szCs w:val="32"/>
          <w:highlight w:val="none"/>
          <w:lang w:val="en-US" w:eastAsia="zh-CN"/>
        </w:rPr>
        <w:t>2024年单位自有资金（事业收入）</w:t>
      </w:r>
      <w:r>
        <w:rPr>
          <w:rFonts w:hint="default" w:ascii="Times New Roman" w:hAnsi="Times New Roman" w:eastAsia="仿宋_GB2312" w:cs="Times New Roman"/>
          <w:b w:val="0"/>
          <w:bCs w:val="0"/>
          <w:kern w:val="28"/>
          <w:sz w:val="32"/>
          <w:szCs w:val="32"/>
          <w:highlight w:val="none"/>
          <w:lang w:val="en-US" w:eastAsia="zh-CN" w:bidi="ar-SA"/>
        </w:rPr>
        <w:t>项目</w:t>
      </w:r>
      <w:r>
        <w:rPr>
          <w:rFonts w:eastAsia="仿宋_GB2312"/>
          <w:sz w:val="32"/>
          <w:szCs w:val="32"/>
          <w:highlight w:val="none"/>
        </w:rPr>
        <w:t>在绩效评价中表现出色，达到了项目的预期目标，并在多个方面取得了显著的成效。</w:t>
      </w:r>
    </w:p>
    <w:p w14:paraId="75C28593">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1CBBB4E4">
      <w:pPr>
        <w:pStyle w:val="11"/>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w:t>
      </w:r>
      <w:r>
        <w:rPr>
          <w:rFonts w:ascii="Times New Roman" w:hAnsi="Times New Roman" w:eastAsia="仿宋_GB2312"/>
          <w:b w:val="0"/>
          <w:bCs w:val="0"/>
          <w:highlight w:val="none"/>
        </w:rPr>
        <w:t xml:space="preserve">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具体打分情况详见：附件1综合评分表。</w:t>
      </w:r>
    </w:p>
    <w:p w14:paraId="61F954F3">
      <w:pPr>
        <w:pStyle w:val="11"/>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7821FB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04E9EF9">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D0D5F81">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0E300B15">
            <w:pPr>
              <w:jc w:val="center"/>
              <w:rPr>
                <w:rFonts w:eastAsia="仿宋_GB2312"/>
                <w:b/>
                <w:bCs/>
                <w:color w:val="000000"/>
                <w:szCs w:val="21"/>
              </w:rPr>
            </w:pPr>
            <w:r>
              <w:rPr>
                <w:rFonts w:eastAsia="仿宋_GB2312"/>
                <w:b/>
                <w:bCs/>
                <w:color w:val="000000"/>
                <w:szCs w:val="21"/>
              </w:rPr>
              <w:t>得分</w:t>
            </w:r>
          </w:p>
        </w:tc>
      </w:tr>
      <w:tr w14:paraId="76948DF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3741144">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E5626EE">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7AE3E967">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121773C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49D8BDC">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B2CE7A8">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21DBE2C2">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34F07A6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F5DD49">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9794B3F">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14:paraId="0667FD97">
            <w:pPr>
              <w:jc w:val="center"/>
              <w:rPr>
                <w:rFonts w:hint="default" w:eastAsia="仿宋_GB2312"/>
                <w:color w:val="000000"/>
                <w:szCs w:val="21"/>
                <w:lang w:val="en-US" w:eastAsia="zh-CN"/>
              </w:rPr>
            </w:pPr>
            <w:r>
              <w:rPr>
                <w:rFonts w:hint="eastAsia" w:eastAsia="仿宋_GB2312"/>
                <w:color w:val="000000"/>
                <w:szCs w:val="21"/>
                <w:lang w:val="en-US" w:eastAsia="zh-CN"/>
              </w:rPr>
              <w:t>40</w:t>
            </w:r>
          </w:p>
        </w:tc>
      </w:tr>
      <w:tr w14:paraId="21352F1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81CAA1">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388BE450">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0F2A74AA">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60ECEDA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A44345C">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14:paraId="4B2A1512">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14:paraId="3277D876">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p>
        </w:tc>
      </w:tr>
    </w:tbl>
    <w:p w14:paraId="57714B62">
      <w:pPr>
        <w:spacing w:line="560" w:lineRule="exact"/>
        <w:ind w:firstLine="640" w:firstLineChars="200"/>
        <w:rPr>
          <w:rFonts w:eastAsia="黑体"/>
          <w:sz w:val="32"/>
          <w:szCs w:val="32"/>
        </w:rPr>
      </w:pPr>
      <w:r>
        <w:rPr>
          <w:rFonts w:eastAsia="黑体"/>
          <w:sz w:val="32"/>
          <w:szCs w:val="32"/>
        </w:rPr>
        <w:t>四、绩效评价指标分析</w:t>
      </w:r>
    </w:p>
    <w:p w14:paraId="0B8D5FD5">
      <w:pPr>
        <w:pStyle w:val="11"/>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52032A66">
      <w:pPr>
        <w:spacing w:line="600" w:lineRule="exact"/>
        <w:ind w:firstLine="640" w:firstLineChars="200"/>
        <w:outlineLvl w:val="0"/>
        <w:rPr>
          <w:rFonts w:eastAsia="仿宋_GB2312"/>
          <w:sz w:val="32"/>
          <w:szCs w:val="32"/>
          <w:highlight w:val="none"/>
        </w:rPr>
      </w:pPr>
      <w:r>
        <w:rPr>
          <w:rFonts w:eastAsia="仿宋_GB2312"/>
          <w:sz w:val="32"/>
          <w:szCs w:val="32"/>
        </w:rPr>
        <w:t>项目决策类指标包括项目立项、绩效目标和资金投入三方面的内容，由6个三级指标构成，权重分值为20分，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14:paraId="705129D0">
      <w:pPr>
        <w:pStyle w:val="21"/>
        <w:spacing w:line="560" w:lineRule="exact"/>
        <w:ind w:firstLine="640"/>
        <w:rPr>
          <w:rFonts w:eastAsia="仿宋_GB2312"/>
          <w:b/>
          <w:bCs/>
          <w:sz w:val="32"/>
          <w:szCs w:val="32"/>
        </w:rPr>
      </w:pPr>
      <w:r>
        <w:rPr>
          <w:rFonts w:eastAsia="仿宋_GB2312"/>
          <w:b/>
          <w:bCs/>
          <w:sz w:val="32"/>
          <w:szCs w:val="32"/>
        </w:rPr>
        <w:t>1.项目立项</w:t>
      </w:r>
    </w:p>
    <w:p w14:paraId="2126726F">
      <w:pPr>
        <w:spacing w:line="600" w:lineRule="exact"/>
        <w:ind w:firstLine="640" w:firstLineChars="200"/>
        <w:outlineLvl w:val="0"/>
        <w:rPr>
          <w:rFonts w:eastAsia="仿宋_GB2312"/>
          <w:sz w:val="32"/>
          <w:szCs w:val="32"/>
        </w:rPr>
      </w:pPr>
      <w:r>
        <w:rPr>
          <w:rFonts w:eastAsia="仿宋_GB2312"/>
          <w:sz w:val="32"/>
          <w:szCs w:val="32"/>
        </w:rPr>
        <w:t>（1）立项依据充分性</w:t>
      </w:r>
    </w:p>
    <w:p w14:paraId="2F9A1EFA">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9EB5294">
      <w:pPr>
        <w:spacing w:line="600" w:lineRule="exact"/>
        <w:ind w:firstLine="640" w:firstLineChars="200"/>
        <w:outlineLvl w:val="0"/>
        <w:rPr>
          <w:rFonts w:eastAsia="仿宋_GB2312"/>
          <w:sz w:val="32"/>
          <w:szCs w:val="32"/>
        </w:rPr>
      </w:pPr>
      <w:r>
        <w:rPr>
          <w:rFonts w:eastAsia="仿宋_GB2312"/>
          <w:sz w:val="32"/>
          <w:szCs w:val="32"/>
        </w:rPr>
        <w:t>（2）立项程序规范性</w:t>
      </w:r>
    </w:p>
    <w:p w14:paraId="66BBC85E">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6F25AD9">
      <w:pPr>
        <w:pStyle w:val="21"/>
        <w:spacing w:line="560" w:lineRule="exact"/>
        <w:ind w:firstLine="640"/>
        <w:rPr>
          <w:rFonts w:eastAsia="仿宋_GB2312"/>
          <w:b/>
          <w:bCs/>
          <w:sz w:val="32"/>
          <w:szCs w:val="32"/>
        </w:rPr>
      </w:pPr>
      <w:r>
        <w:rPr>
          <w:rFonts w:eastAsia="仿宋_GB2312"/>
          <w:b/>
          <w:bCs/>
          <w:sz w:val="32"/>
          <w:szCs w:val="32"/>
        </w:rPr>
        <w:t>2.绩效目标</w:t>
      </w:r>
    </w:p>
    <w:p w14:paraId="1CD8997B">
      <w:pPr>
        <w:spacing w:line="600" w:lineRule="exact"/>
        <w:ind w:firstLine="640" w:firstLineChars="200"/>
        <w:outlineLvl w:val="0"/>
        <w:rPr>
          <w:rFonts w:eastAsia="仿宋_GB2312"/>
          <w:sz w:val="32"/>
          <w:szCs w:val="32"/>
        </w:rPr>
      </w:pPr>
      <w:r>
        <w:rPr>
          <w:rFonts w:eastAsia="仿宋_GB2312"/>
          <w:sz w:val="32"/>
          <w:szCs w:val="32"/>
        </w:rPr>
        <w:t>（1）绩效目标合理性</w:t>
      </w:r>
    </w:p>
    <w:p w14:paraId="40A4A2F2">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6042B3A">
      <w:pPr>
        <w:spacing w:line="600" w:lineRule="exact"/>
        <w:ind w:firstLine="640" w:firstLineChars="200"/>
        <w:outlineLvl w:val="0"/>
        <w:rPr>
          <w:rFonts w:eastAsia="仿宋_GB2312"/>
          <w:sz w:val="32"/>
          <w:szCs w:val="32"/>
        </w:rPr>
      </w:pPr>
      <w:r>
        <w:rPr>
          <w:rFonts w:eastAsia="仿宋_GB2312"/>
          <w:sz w:val="32"/>
          <w:szCs w:val="32"/>
        </w:rPr>
        <w:t>（2）绩效指标明确性</w:t>
      </w:r>
    </w:p>
    <w:p w14:paraId="1D1FCF40">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2E350B65">
      <w:pPr>
        <w:pStyle w:val="21"/>
        <w:spacing w:line="560" w:lineRule="exact"/>
        <w:ind w:firstLine="640"/>
        <w:rPr>
          <w:rFonts w:eastAsia="仿宋_GB2312"/>
          <w:b/>
          <w:bCs/>
          <w:sz w:val="32"/>
          <w:szCs w:val="32"/>
        </w:rPr>
      </w:pPr>
      <w:r>
        <w:rPr>
          <w:rFonts w:eastAsia="仿宋_GB2312"/>
          <w:b/>
          <w:bCs/>
          <w:sz w:val="32"/>
          <w:szCs w:val="32"/>
        </w:rPr>
        <w:t>3.资金投入</w:t>
      </w:r>
    </w:p>
    <w:p w14:paraId="429B9119">
      <w:pPr>
        <w:spacing w:line="600" w:lineRule="exact"/>
        <w:ind w:firstLine="640" w:firstLineChars="200"/>
        <w:outlineLvl w:val="0"/>
        <w:rPr>
          <w:rFonts w:eastAsia="仿宋_GB2312"/>
          <w:sz w:val="32"/>
          <w:szCs w:val="32"/>
        </w:rPr>
      </w:pPr>
      <w:r>
        <w:rPr>
          <w:rFonts w:eastAsia="仿宋_GB2312"/>
          <w:sz w:val="32"/>
          <w:szCs w:val="32"/>
        </w:rPr>
        <w:t>（1）预算编制科学性</w:t>
      </w:r>
    </w:p>
    <w:p w14:paraId="53EC2077">
      <w:pPr>
        <w:spacing w:line="560" w:lineRule="exact"/>
        <w:ind w:firstLine="640" w:firstLineChars="200"/>
        <w:rPr>
          <w:rFonts w:eastAsia="仿宋_GB2312"/>
          <w:sz w:val="32"/>
          <w:szCs w:val="32"/>
          <w:highlight w:val="none"/>
        </w:rPr>
      </w:pPr>
      <w:r>
        <w:rPr>
          <w:rFonts w:eastAsia="仿宋_GB2312"/>
          <w:sz w:val="32"/>
          <w:szCs w:val="32"/>
          <w:highlight w:val="none"/>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617BBE0C">
      <w:pPr>
        <w:spacing w:line="600" w:lineRule="exact"/>
        <w:ind w:firstLine="640" w:firstLineChars="200"/>
        <w:outlineLvl w:val="0"/>
        <w:rPr>
          <w:rFonts w:eastAsia="仿宋_GB2312"/>
          <w:sz w:val="32"/>
          <w:szCs w:val="32"/>
          <w:highlight w:val="none"/>
        </w:rPr>
      </w:pPr>
      <w:r>
        <w:rPr>
          <w:rFonts w:eastAsia="仿宋_GB2312"/>
          <w:sz w:val="32"/>
          <w:szCs w:val="32"/>
          <w:highlight w:val="none"/>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13FC5466">
      <w:pPr>
        <w:spacing w:line="600" w:lineRule="exact"/>
        <w:ind w:firstLine="640" w:firstLineChars="200"/>
        <w:outlineLvl w:val="0"/>
        <w:rPr>
          <w:rFonts w:eastAsia="仿宋_GB2312"/>
          <w:sz w:val="32"/>
          <w:szCs w:val="32"/>
        </w:rPr>
      </w:pPr>
      <w:r>
        <w:rPr>
          <w:rFonts w:eastAsia="仿宋_GB2312"/>
          <w:sz w:val="32"/>
          <w:szCs w:val="32"/>
        </w:rPr>
        <w:t>（2）资金分配合理性</w:t>
      </w:r>
    </w:p>
    <w:p w14:paraId="78C6412D">
      <w:pPr>
        <w:spacing w:line="560" w:lineRule="exact"/>
        <w:ind w:firstLine="640" w:firstLineChars="200"/>
        <w:rPr>
          <w:rFonts w:eastAsia="仿宋_GB2312"/>
          <w:sz w:val="32"/>
          <w:szCs w:val="32"/>
          <w:highlight w:val="none"/>
        </w:rPr>
      </w:pPr>
      <w:r>
        <w:rPr>
          <w:rFonts w:eastAsia="仿宋_GB2312"/>
          <w:sz w:val="32"/>
          <w:szCs w:val="32"/>
          <w:highlight w:val="none"/>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31F0F30A">
      <w:pPr>
        <w:spacing w:line="560" w:lineRule="exact"/>
        <w:ind w:firstLine="640" w:firstLineChars="200"/>
        <w:rPr>
          <w:rFonts w:eastAsia="仿宋_GB2312"/>
          <w:sz w:val="32"/>
          <w:szCs w:val="32"/>
          <w:highlight w:val="none"/>
        </w:rPr>
      </w:pPr>
      <w:r>
        <w:rPr>
          <w:rFonts w:eastAsia="仿宋_GB2312"/>
          <w:sz w:val="32"/>
          <w:szCs w:val="32"/>
          <w:highlight w:val="none"/>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AA9CC57">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5B4DB13">
      <w:pPr>
        <w:pStyle w:val="11"/>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14:paraId="2D1089E4">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14:paraId="42B98B61">
      <w:pPr>
        <w:pStyle w:val="21"/>
        <w:spacing w:line="560" w:lineRule="exact"/>
        <w:ind w:firstLine="640"/>
        <w:rPr>
          <w:rFonts w:eastAsia="仿宋_GB2312"/>
          <w:b/>
          <w:bCs/>
          <w:sz w:val="32"/>
          <w:szCs w:val="32"/>
        </w:rPr>
      </w:pPr>
      <w:r>
        <w:rPr>
          <w:rFonts w:eastAsia="仿宋_GB2312"/>
          <w:b/>
          <w:bCs/>
          <w:sz w:val="32"/>
          <w:szCs w:val="32"/>
        </w:rPr>
        <w:t>1.资金管理</w:t>
      </w:r>
    </w:p>
    <w:p w14:paraId="41DD806E">
      <w:pPr>
        <w:spacing w:line="600" w:lineRule="exact"/>
        <w:ind w:firstLine="640" w:firstLineChars="200"/>
        <w:outlineLvl w:val="0"/>
        <w:rPr>
          <w:rFonts w:eastAsia="仿宋_GB2312"/>
          <w:sz w:val="32"/>
          <w:szCs w:val="32"/>
          <w:highlight w:val="none"/>
        </w:rPr>
      </w:pPr>
      <w:r>
        <w:rPr>
          <w:rFonts w:eastAsia="仿宋_GB2312"/>
          <w:sz w:val="32"/>
          <w:szCs w:val="32"/>
          <w:highlight w:val="none"/>
        </w:rPr>
        <w:t>（1）资金到位率</w:t>
      </w:r>
    </w:p>
    <w:p w14:paraId="1813F12B">
      <w:pPr>
        <w:spacing w:line="600" w:lineRule="exact"/>
        <w:ind w:firstLine="640" w:firstLineChars="200"/>
        <w:outlineLvl w:val="0"/>
        <w:rPr>
          <w:rFonts w:eastAsia="仿宋_GB2312"/>
          <w:sz w:val="32"/>
          <w:szCs w:val="32"/>
        </w:rPr>
      </w:pPr>
      <w:r>
        <w:rPr>
          <w:rFonts w:eastAsia="仿宋_GB2312"/>
          <w:sz w:val="32"/>
          <w:szCs w:val="32"/>
          <w:highlight w:val="none"/>
        </w:rPr>
        <w:t>本项目总投资</w:t>
      </w:r>
      <w:r>
        <w:rPr>
          <w:rFonts w:hint="eastAsia" w:eastAsia="仿宋_GB2312"/>
          <w:sz w:val="32"/>
          <w:szCs w:val="32"/>
          <w:highlight w:val="none"/>
          <w:lang w:val="en-US" w:eastAsia="zh-CN"/>
        </w:rPr>
        <w:t>208.68</w:t>
      </w:r>
      <w:r>
        <w:rPr>
          <w:rFonts w:eastAsia="仿宋_GB2312"/>
          <w:sz w:val="32"/>
          <w:szCs w:val="32"/>
          <w:highlight w:val="none"/>
        </w:rPr>
        <w:t>万元，财政资金及时足额到位，到位率</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预算资金按计划进度执行。</w:t>
      </w:r>
    </w:p>
    <w:p w14:paraId="6AC1DF5A">
      <w:pPr>
        <w:spacing w:line="600" w:lineRule="exact"/>
        <w:ind w:firstLine="640" w:firstLineChars="200"/>
        <w:outlineLvl w:val="0"/>
        <w:rPr>
          <w:rFonts w:eastAsia="仿宋_GB2312"/>
          <w:sz w:val="32"/>
          <w:szCs w:val="32"/>
        </w:rPr>
      </w:pPr>
      <w:r>
        <w:rPr>
          <w:rFonts w:eastAsia="仿宋_GB2312"/>
          <w:sz w:val="32"/>
          <w:szCs w:val="32"/>
        </w:rPr>
        <w:t>（2）预算执行率</w:t>
      </w:r>
    </w:p>
    <w:p w14:paraId="0691761F">
      <w:pPr>
        <w:spacing w:line="600" w:lineRule="exact"/>
        <w:ind w:firstLine="640" w:firstLineChars="200"/>
        <w:outlineLvl w:val="0"/>
        <w:rPr>
          <w:rFonts w:hint="eastAsia" w:eastAsia="仿宋_GB2312"/>
          <w:sz w:val="32"/>
          <w:szCs w:val="32"/>
          <w:lang w:eastAsia="zh-CN"/>
        </w:rPr>
      </w:pPr>
      <w:r>
        <w:rPr>
          <w:rFonts w:eastAsia="仿宋_GB2312"/>
          <w:sz w:val="32"/>
          <w:szCs w:val="32"/>
        </w:rPr>
        <w:t>预算编制较为详细，项目资金支出总体能够按照预算执行，</w:t>
      </w:r>
    </w:p>
    <w:p w14:paraId="7BC879FC">
      <w:pPr>
        <w:spacing w:line="600" w:lineRule="exact"/>
        <w:ind w:firstLine="640" w:firstLineChars="200"/>
        <w:outlineLvl w:val="0"/>
        <w:rPr>
          <w:rFonts w:eastAsia="仿宋_GB2312"/>
          <w:sz w:val="32"/>
          <w:szCs w:val="32"/>
        </w:rPr>
      </w:pPr>
      <w:r>
        <w:rPr>
          <w:rFonts w:eastAsia="仿宋_GB2312"/>
          <w:sz w:val="32"/>
          <w:szCs w:val="32"/>
        </w:rPr>
        <w:t>（3）资金使用合规性</w:t>
      </w:r>
    </w:p>
    <w:p w14:paraId="7BBA0659">
      <w:pPr>
        <w:spacing w:line="560" w:lineRule="exact"/>
        <w:ind w:firstLine="640" w:firstLineChars="200"/>
        <w:rPr>
          <w:rFonts w:eastAsia="仿宋_GB2312"/>
          <w:sz w:val="32"/>
          <w:szCs w:val="32"/>
          <w:highlight w:val="none"/>
        </w:rPr>
      </w:pPr>
      <w:r>
        <w:rPr>
          <w:rFonts w:eastAsia="仿宋_GB2312"/>
          <w:sz w:val="32"/>
          <w:szCs w:val="32"/>
          <w:highlight w:val="none"/>
        </w:rPr>
        <w:t>本项目的资金使用严格遵循了国家相关法律法规与财务制度，确保了资金的合规性与安全性。在资金使用过程中，我们建立了完善的财务管理体系，对资金的流动进行了全程监控与记录。</w:t>
      </w:r>
    </w:p>
    <w:p w14:paraId="19366C87">
      <w:pPr>
        <w:spacing w:line="560" w:lineRule="exact"/>
        <w:ind w:firstLine="640" w:firstLineChars="200"/>
        <w:rPr>
          <w:rFonts w:eastAsia="仿宋_GB2312"/>
          <w:sz w:val="32"/>
          <w:szCs w:val="32"/>
          <w:highlight w:val="none"/>
        </w:rPr>
      </w:pPr>
      <w:r>
        <w:rPr>
          <w:rFonts w:eastAsia="仿宋_GB2312"/>
          <w:sz w:val="32"/>
          <w:szCs w:val="32"/>
          <w:highlight w:val="none"/>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6916C26">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9FB660F">
      <w:pPr>
        <w:pStyle w:val="21"/>
        <w:spacing w:line="560" w:lineRule="exact"/>
        <w:ind w:firstLine="640"/>
        <w:rPr>
          <w:rFonts w:eastAsia="仿宋_GB2312"/>
          <w:b/>
          <w:bCs/>
          <w:sz w:val="32"/>
          <w:szCs w:val="32"/>
        </w:rPr>
      </w:pPr>
      <w:r>
        <w:rPr>
          <w:rFonts w:eastAsia="仿宋_GB2312"/>
          <w:b/>
          <w:bCs/>
          <w:sz w:val="32"/>
          <w:szCs w:val="32"/>
        </w:rPr>
        <w:t>2.组织实施</w:t>
      </w:r>
    </w:p>
    <w:p w14:paraId="37442E90">
      <w:pPr>
        <w:spacing w:line="600" w:lineRule="exact"/>
        <w:ind w:firstLine="640" w:firstLineChars="200"/>
        <w:outlineLvl w:val="0"/>
        <w:rPr>
          <w:rFonts w:eastAsia="仿宋_GB2312"/>
          <w:sz w:val="32"/>
          <w:szCs w:val="32"/>
        </w:rPr>
      </w:pPr>
      <w:r>
        <w:rPr>
          <w:rFonts w:eastAsia="仿宋_GB2312"/>
          <w:sz w:val="32"/>
          <w:szCs w:val="32"/>
        </w:rPr>
        <w:t>（1）管理制度健全性</w:t>
      </w:r>
    </w:p>
    <w:p w14:paraId="409299FC">
      <w:pPr>
        <w:spacing w:line="560" w:lineRule="exact"/>
        <w:ind w:firstLine="640" w:firstLineChars="200"/>
        <w:rPr>
          <w:rFonts w:eastAsia="仿宋_GB2312"/>
          <w:sz w:val="32"/>
          <w:szCs w:val="32"/>
          <w:highlight w:val="none"/>
        </w:rPr>
      </w:pPr>
      <w:r>
        <w:rPr>
          <w:rFonts w:eastAsia="仿宋_GB2312"/>
          <w:sz w:val="32"/>
          <w:szCs w:val="32"/>
          <w:highlight w:val="none"/>
        </w:rPr>
        <w:t>本项目拥有一套完善、健全的管理制度体系，为项目的成功实施提供了坚实的制度保障。项目管理制度的制定紧密结合了项目的特点与实际情况，涵盖了项目的策划、组织、实施、监控与收尾等各个环节。</w:t>
      </w:r>
    </w:p>
    <w:p w14:paraId="6CFC9573">
      <w:pPr>
        <w:spacing w:line="560" w:lineRule="exact"/>
        <w:ind w:firstLine="640" w:firstLineChars="200"/>
        <w:rPr>
          <w:rFonts w:eastAsia="仿宋_GB2312"/>
          <w:sz w:val="32"/>
          <w:szCs w:val="32"/>
          <w:highlight w:val="none"/>
        </w:rPr>
      </w:pPr>
      <w:r>
        <w:rPr>
          <w:rFonts w:eastAsia="仿宋_GB2312"/>
          <w:sz w:val="32"/>
          <w:szCs w:val="32"/>
          <w:highlight w:val="none"/>
        </w:rPr>
        <w:t>在制度设计上，我们注重了制度的科学性与可操作性，确保制度能够切实指导项目的执行与管理。</w:t>
      </w:r>
    </w:p>
    <w:p w14:paraId="69167767">
      <w:pPr>
        <w:spacing w:line="560" w:lineRule="exact"/>
        <w:ind w:firstLine="640" w:firstLineChars="200"/>
        <w:rPr>
          <w:rFonts w:eastAsia="仿宋_GB2312"/>
          <w:sz w:val="32"/>
          <w:szCs w:val="32"/>
          <w:highlight w:val="none"/>
        </w:rPr>
      </w:pPr>
      <w:r>
        <w:rPr>
          <w:rFonts w:eastAsia="仿宋_GB2312"/>
          <w:sz w:val="32"/>
          <w:szCs w:val="32"/>
          <w:highlight w:val="none"/>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A04788B">
      <w:pPr>
        <w:spacing w:line="600" w:lineRule="exact"/>
        <w:ind w:firstLine="640" w:firstLineChars="200"/>
        <w:outlineLvl w:val="0"/>
        <w:rPr>
          <w:rFonts w:eastAsia="仿宋_GB2312"/>
          <w:sz w:val="32"/>
          <w:szCs w:val="32"/>
          <w:highlight w:val="none"/>
        </w:rPr>
      </w:pPr>
      <w:r>
        <w:rPr>
          <w:rFonts w:eastAsia="仿宋_GB2312"/>
          <w:sz w:val="32"/>
          <w:szCs w:val="32"/>
          <w:highlight w:val="none"/>
        </w:rPr>
        <w:t>综上所述，本项目的管理制度是健全的、有效的，既符合项目的实际情况，又满足了项目管理的需要。管理制度的健全性为项目的成功实施提供了有力的保障，也为项目的绩效评价奠定了坚实的基础。</w:t>
      </w:r>
    </w:p>
    <w:p w14:paraId="0D2CD266">
      <w:pPr>
        <w:spacing w:line="600" w:lineRule="exact"/>
        <w:ind w:firstLine="640" w:firstLineChars="200"/>
        <w:outlineLvl w:val="0"/>
        <w:rPr>
          <w:rFonts w:eastAsia="仿宋_GB2312"/>
          <w:sz w:val="32"/>
          <w:szCs w:val="32"/>
        </w:rPr>
      </w:pPr>
      <w:r>
        <w:rPr>
          <w:rFonts w:eastAsia="仿宋_GB2312"/>
          <w:sz w:val="32"/>
          <w:szCs w:val="32"/>
        </w:rPr>
        <w:t>（2）制度执行有效性</w:t>
      </w:r>
    </w:p>
    <w:p w14:paraId="1D192EC8">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5D6B74DA">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6CD84EFB">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14:paraId="332EF773">
      <w:pPr>
        <w:pStyle w:val="12"/>
        <w:numPr>
          <w:ilvl w:val="0"/>
          <w:numId w:val="4"/>
        </w:numPr>
        <w:spacing w:line="560" w:lineRule="exact"/>
        <w:ind w:firstLine="643"/>
        <w:rPr>
          <w:rFonts w:eastAsia="楷体_GB2312"/>
          <w:b/>
          <w:bCs/>
          <w:sz w:val="32"/>
          <w:szCs w:val="32"/>
        </w:rPr>
      </w:pPr>
      <w:r>
        <w:rPr>
          <w:rFonts w:eastAsia="楷体_GB2312"/>
          <w:b/>
          <w:bCs/>
          <w:sz w:val="32"/>
          <w:szCs w:val="32"/>
        </w:rPr>
        <w:t>项目产出情况</w:t>
      </w:r>
    </w:p>
    <w:p w14:paraId="2C3CF6DD">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w:t>
      </w:r>
      <w:r>
        <w:rPr>
          <w:rFonts w:eastAsia="仿宋_GB2312"/>
          <w:sz w:val="32"/>
          <w:szCs w:val="32"/>
          <w:highlight w:val="none"/>
        </w:rPr>
        <w:t>四方面的内容，由</w:t>
      </w:r>
      <w:r>
        <w:rPr>
          <w:rFonts w:hint="eastAsia" w:eastAsia="仿宋_GB2312"/>
          <w:sz w:val="32"/>
          <w:szCs w:val="32"/>
          <w:highlight w:val="none"/>
          <w:lang w:val="en-US" w:eastAsia="zh-CN"/>
        </w:rPr>
        <w:t>5</w:t>
      </w:r>
      <w:r>
        <w:rPr>
          <w:rFonts w:eastAsia="仿宋_GB2312"/>
          <w:sz w:val="32"/>
          <w:szCs w:val="32"/>
          <w:highlight w:val="none"/>
        </w:rPr>
        <w:t>个三级指标构成，权重分为40分，实际得分</w:t>
      </w:r>
      <w:r>
        <w:rPr>
          <w:rFonts w:hint="eastAsia" w:eastAsia="仿宋_GB2312"/>
          <w:sz w:val="32"/>
          <w:szCs w:val="32"/>
          <w:highlight w:val="none"/>
          <w:lang w:val="en-US" w:eastAsia="zh-CN"/>
        </w:rPr>
        <w:t>40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%。具</w:t>
      </w:r>
      <w:r>
        <w:rPr>
          <w:rFonts w:eastAsia="仿宋_GB2312"/>
          <w:sz w:val="32"/>
          <w:szCs w:val="32"/>
        </w:rPr>
        <w:t>体产出指标完成情况如下：</w:t>
      </w:r>
    </w:p>
    <w:p w14:paraId="0E17B97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14B4B36E">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5CCFB2A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5319F4BF">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66756BFA">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130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37BF1A6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78.68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78.68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841A576">
      <w:pPr>
        <w:pStyle w:val="12"/>
        <w:numPr>
          <w:ilvl w:val="0"/>
          <w:numId w:val="4"/>
        </w:numPr>
        <w:spacing w:line="560" w:lineRule="exact"/>
        <w:ind w:firstLine="643"/>
        <w:rPr>
          <w:rFonts w:eastAsia="楷体_GB2312"/>
          <w:b/>
          <w:bCs/>
          <w:sz w:val="32"/>
          <w:szCs w:val="32"/>
        </w:rPr>
      </w:pPr>
      <w:r>
        <w:rPr>
          <w:rFonts w:eastAsia="楷体_GB2312"/>
          <w:b/>
          <w:bCs/>
          <w:sz w:val="32"/>
          <w:szCs w:val="32"/>
        </w:rPr>
        <w:t>项目效益情况</w:t>
      </w:r>
    </w:p>
    <w:p w14:paraId="11667B1F">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w:t>
      </w:r>
      <w:r>
        <w:rPr>
          <w:rFonts w:eastAsia="仿宋_GB2312"/>
          <w:sz w:val="32"/>
          <w:szCs w:val="32"/>
          <w:highlight w:val="none"/>
        </w:rPr>
        <w:t>容，由</w:t>
      </w:r>
      <w:r>
        <w:rPr>
          <w:rFonts w:hint="eastAsia" w:eastAsia="仿宋_GB2312"/>
          <w:sz w:val="32"/>
          <w:szCs w:val="32"/>
          <w:highlight w:val="none"/>
          <w:lang w:val="en-US" w:eastAsia="zh-CN"/>
        </w:rPr>
        <w:t>3</w:t>
      </w:r>
      <w:r>
        <w:rPr>
          <w:rFonts w:eastAsia="仿宋_GB2312"/>
          <w:sz w:val="32"/>
          <w:szCs w:val="32"/>
          <w:highlight w:val="none"/>
        </w:rPr>
        <w:t>个三级指标构成，权重分为20分，实际得分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具体效益指标及满意度指标完成情况如下：</w:t>
      </w:r>
    </w:p>
    <w:p w14:paraId="2742B3B0">
      <w:pPr>
        <w:spacing w:line="600" w:lineRule="exact"/>
        <w:ind w:firstLine="640" w:firstLineChars="200"/>
        <w:outlineLvl w:val="0"/>
        <w:rPr>
          <w:rFonts w:eastAsia="仿宋_GB2312"/>
          <w:color w:val="FF0000"/>
          <w:sz w:val="32"/>
          <w:szCs w:val="32"/>
        </w:rPr>
      </w:pPr>
      <w:r>
        <w:rPr>
          <w:rFonts w:eastAsia="仿宋_GB2312"/>
          <w:sz w:val="32"/>
          <w:szCs w:val="32"/>
        </w:rPr>
        <w:t>1.实施效益</w:t>
      </w:r>
    </w:p>
    <w:p w14:paraId="5918C34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14:paraId="1F9E723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6B10FF5B">
      <w:pPr>
        <w:spacing w:line="600" w:lineRule="exact"/>
        <w:ind w:firstLine="640" w:firstLineChars="200"/>
        <w:outlineLvl w:val="0"/>
        <w:rPr>
          <w:rFonts w:eastAsia="仿宋_GB2312"/>
          <w:sz w:val="32"/>
          <w:szCs w:val="32"/>
        </w:rPr>
      </w:pPr>
      <w:r>
        <w:rPr>
          <w:rFonts w:eastAsia="仿宋_GB2312"/>
          <w:sz w:val="32"/>
          <w:szCs w:val="32"/>
        </w:rPr>
        <w:t>2.满意度</w:t>
      </w:r>
    </w:p>
    <w:p w14:paraId="15783EDF">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7FFA121A">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14:paraId="6BA83260">
      <w:pPr>
        <w:pStyle w:val="21"/>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2024年单位自有资金（事业收入）</w:t>
      </w:r>
      <w:r>
        <w:rPr>
          <w:rFonts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208.68</w:t>
      </w:r>
      <w:r>
        <w:rPr>
          <w:rFonts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208.68</w:t>
      </w:r>
      <w:r>
        <w:rPr>
          <w:rFonts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208.68</w:t>
      </w:r>
      <w:r>
        <w:rPr>
          <w:rFonts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无偏差。</w:t>
      </w:r>
    </w:p>
    <w:p w14:paraId="43E261D7">
      <w:pPr>
        <w:spacing w:line="560" w:lineRule="exact"/>
        <w:ind w:firstLine="640" w:firstLineChars="200"/>
        <w:rPr>
          <w:rStyle w:val="20"/>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14:paraId="7060597F">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54445002">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46C182F">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440247E">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2192D25D">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w:t>
      </w:r>
      <w:r>
        <w:rPr>
          <w:rFonts w:eastAsia="仿宋_GB2312"/>
          <w:sz w:val="32"/>
          <w:szCs w:val="32"/>
          <w:lang w:val="en-US" w:eastAsia="zh-CN"/>
        </w:rPr>
        <w:t>由于部分人员</w:t>
      </w:r>
      <w:r>
        <w:rPr>
          <w:rFonts w:eastAsia="仿宋_GB2312"/>
          <w:sz w:val="32"/>
          <w:szCs w:val="32"/>
        </w:rPr>
        <w:t>缺乏相关绩效管理专业知识，自评价工作还存在自我审定的局限性，影响评价质量。</w:t>
      </w:r>
    </w:p>
    <w:p w14:paraId="4F9C268A">
      <w:pPr>
        <w:spacing w:line="600" w:lineRule="exact"/>
        <w:ind w:firstLine="640" w:firstLineChars="200"/>
        <w:outlineLvl w:val="0"/>
        <w:rPr>
          <w:rFonts w:eastAsia="仿宋_GB2312"/>
          <w:sz w:val="32"/>
          <w:szCs w:val="32"/>
        </w:rPr>
      </w:pPr>
      <w:r>
        <w:rPr>
          <w:rFonts w:eastAsia="仿宋_GB2312"/>
          <w:sz w:val="32"/>
          <w:szCs w:val="32"/>
        </w:rPr>
        <w:t>2.因轮岗、调动</w:t>
      </w:r>
      <w:r>
        <w:rPr>
          <w:rFonts w:hint="eastAsia" w:eastAsia="仿宋_GB2312"/>
          <w:sz w:val="32"/>
          <w:szCs w:val="32"/>
        </w:rPr>
        <w:t>等</w:t>
      </w:r>
      <w:r>
        <w:rPr>
          <w:rFonts w:eastAsia="仿宋_GB2312"/>
          <w:sz w:val="32"/>
          <w:szCs w:val="32"/>
        </w:rPr>
        <w:t>因素使我单位绩效工作人员流动频繁，</w:t>
      </w:r>
      <w:r>
        <w:rPr>
          <w:rFonts w:hint="eastAsia" w:eastAsia="仿宋_GB2312"/>
          <w:sz w:val="32"/>
          <w:szCs w:val="32"/>
        </w:rPr>
        <w:t>造成</w:t>
      </w:r>
      <w:r>
        <w:rPr>
          <w:rFonts w:eastAsia="仿宋_GB2312"/>
          <w:sz w:val="32"/>
          <w:szCs w:val="32"/>
        </w:rPr>
        <w:t>工作衔接不到位的情况。</w:t>
      </w:r>
    </w:p>
    <w:p w14:paraId="0C7D80FC">
      <w:pPr>
        <w:spacing w:line="600" w:lineRule="exact"/>
        <w:ind w:firstLine="640" w:firstLineChars="200"/>
        <w:outlineLvl w:val="0"/>
        <w:rPr>
          <w:rFonts w:hint="eastAsia" w:eastAsia="仿宋_GB2312"/>
          <w:sz w:val="32"/>
          <w:szCs w:val="32"/>
        </w:rPr>
      </w:pPr>
      <w:r>
        <w:rPr>
          <w:rFonts w:hint="eastAsia" w:eastAsia="仿宋_GB2312"/>
          <w:sz w:val="32"/>
          <w:szCs w:val="32"/>
        </w:rPr>
        <w:t>一是抓贯彻落实的高度不够。存在流于形式的倾向，吸引力和凝聚力不够;有时教育内容枯燥，方式方法单一，缺乏生机和活力，有时会显得党建工作无特色。</w:t>
      </w:r>
    </w:p>
    <w:p w14:paraId="0C338ADA">
      <w:pPr>
        <w:spacing w:line="600" w:lineRule="exact"/>
        <w:ind w:firstLine="640" w:firstLineChars="200"/>
        <w:outlineLvl w:val="0"/>
        <w:rPr>
          <w:rFonts w:hint="eastAsia" w:eastAsia="仿宋_GB2312"/>
          <w:sz w:val="32"/>
          <w:szCs w:val="32"/>
        </w:rPr>
      </w:pPr>
      <w:r>
        <w:rPr>
          <w:rFonts w:hint="eastAsia" w:eastAsia="仿宋_GB2312"/>
          <w:sz w:val="32"/>
          <w:szCs w:val="32"/>
        </w:rPr>
        <w:t>二是抓理论学习深度不够。理论学习抓的不够紧。存在被动学习的现象，学习的自觉性和系统性不够强。在运用学习成果指导实践、破解难题上还有一定的差距，存在学用脱节的现象。</w:t>
      </w:r>
    </w:p>
    <w:p w14:paraId="27A986E2">
      <w:pPr>
        <w:spacing w:line="600" w:lineRule="exact"/>
        <w:ind w:firstLine="640" w:firstLineChars="200"/>
        <w:outlineLvl w:val="0"/>
        <w:rPr>
          <w:rFonts w:eastAsia="仿宋_GB2312"/>
          <w:sz w:val="32"/>
          <w:szCs w:val="32"/>
        </w:rPr>
      </w:pPr>
      <w:r>
        <w:rPr>
          <w:rFonts w:hint="eastAsia" w:eastAsia="仿宋_GB2312"/>
          <w:sz w:val="32"/>
          <w:szCs w:val="32"/>
        </w:rPr>
        <w:t>三是创新意识有待进一步提高基层乡镇能力服务技术缺乏，技术能力有待提高，应加强理论培训与实践培养。</w:t>
      </w:r>
    </w:p>
    <w:p w14:paraId="0266C42D">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6FAF7978">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14:paraId="57A19A02">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14:paraId="4A3AA0A2">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5B6A6D2">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6B37345B">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C745717">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1" w:name="page8"/>
      <w:bookmarkEnd w:id="1"/>
      <w:r>
        <w:rPr>
          <w:rFonts w:eastAsia="黑体"/>
          <w:sz w:val="32"/>
          <w:szCs w:val="32"/>
        </w:rPr>
        <w:t>明的问题</w:t>
      </w:r>
    </w:p>
    <w:p w14:paraId="65A6A2E9">
      <w:pPr>
        <w:pStyle w:val="2"/>
        <w:spacing w:after="0" w:line="560" w:lineRule="exact"/>
        <w:ind w:left="0" w:leftChars="0" w:firstLine="640"/>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r>
        <w:rPr>
          <w:rFonts w:ascii="Times New Roman" w:hAnsi="Times New Roman" w:eastAsia="仿宋_GB2312"/>
          <w:sz w:val="32"/>
          <w:szCs w:val="32"/>
        </w:rPr>
        <w:t>本项目无其他需说明的问题。</w:t>
      </w:r>
      <w:bookmarkStart w:id="2" w:name="_GoBack"/>
      <w:bookmarkEnd w:id="2"/>
    </w:p>
    <w:p w14:paraId="29F1B4BC"/>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3DB640-2177-4C64-A251-1DD8A20A9F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7B9F352F-FF0D-4F9E-9FA1-B3AFB6A06EB1}"/>
  </w:font>
  <w:font w:name="华文中宋">
    <w:panose1 w:val="02010600040101010101"/>
    <w:charset w:val="86"/>
    <w:family w:val="auto"/>
    <w:pitch w:val="default"/>
    <w:sig w:usb0="00000287" w:usb1="080F0000" w:usb2="00000000" w:usb3="00000000" w:csb0="0004009F" w:csb1="DFD70000"/>
    <w:embedRegular r:id="rId3" w:fontKey="{583B9BB1-99F1-4AC4-91B2-F25180B04607}"/>
  </w:font>
  <w:font w:name="方正小标宋简体">
    <w:panose1 w:val="02000000000000000000"/>
    <w:charset w:val="86"/>
    <w:family w:val="auto"/>
    <w:pitch w:val="default"/>
    <w:sig w:usb0="00000001" w:usb1="08000000" w:usb2="00000000" w:usb3="00000000" w:csb0="00040000" w:csb1="00000000"/>
    <w:embedRegular r:id="rId4" w:fontKey="{4853EAC1-32C6-4575-B9A7-072488E15E62}"/>
  </w:font>
  <w:font w:name="方正小标宋_GBK">
    <w:altName w:val="微软雅黑"/>
    <w:panose1 w:val="00000000000000000000"/>
    <w:charset w:val="86"/>
    <w:family w:val="script"/>
    <w:pitch w:val="default"/>
    <w:sig w:usb0="00000000" w:usb1="00000000" w:usb2="00000000" w:usb3="00000000" w:csb0="00040000" w:csb1="00000000"/>
    <w:embedRegular r:id="rId5" w:fontKey="{C39BC109-D7F0-4FCC-8AE2-D40FA6C8F81F}"/>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embedRegular r:id="rId6" w:fontKey="{F3B62C2D-8B4C-4F22-AB8D-CD7F30B737BA}"/>
  </w:font>
  <w:font w:name="方正仿宋_GBK">
    <w:altName w:val="微软雅黑"/>
    <w:panose1 w:val="00000000000000000000"/>
    <w:charset w:val="86"/>
    <w:family w:val="auto"/>
    <w:pitch w:val="default"/>
    <w:sig w:usb0="00000000" w:usb1="00000000" w:usb2="00000000" w:usb3="00000000" w:csb0="00040000" w:csb1="00000000"/>
    <w:embedRegular r:id="rId7" w:fontKey="{5DA4D980-FFCD-4EF1-B591-7DB06C8F2157}"/>
  </w:font>
  <w:font w:name="楷体">
    <w:panose1 w:val="02010609060101010101"/>
    <w:charset w:val="86"/>
    <w:family w:val="modern"/>
    <w:pitch w:val="default"/>
    <w:sig w:usb0="800002BF" w:usb1="38CF7CFA" w:usb2="00000016" w:usb3="00000000" w:csb0="00040001" w:csb1="00000000"/>
    <w:embedRegular r:id="rId8" w:fontKey="{31DA39A8-3993-4F61-9DE8-95F5A12A5542}"/>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280B476">
        <w:pPr>
          <w:pStyle w:val="7"/>
          <w:jc w:val="center"/>
        </w:pPr>
        <w:r>
          <w:fldChar w:fldCharType="begin"/>
        </w:r>
        <w:r>
          <w:instrText xml:space="preserve">PAGE   \* MERGEFORMAT</w:instrText>
        </w:r>
        <w:r>
          <w:fldChar w:fldCharType="separate"/>
        </w:r>
        <w:r>
          <w:rPr>
            <w:lang w:val="zh-CN"/>
          </w:rPr>
          <w:t>19</w:t>
        </w:r>
        <w:r>
          <w:fldChar w:fldCharType="end"/>
        </w:r>
      </w:p>
    </w:sdtContent>
  </w:sdt>
  <w:p w14:paraId="6519EF1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pPr>
        <w:ind w:left="410"/>
      </w:pPr>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diOGM5NzlhN2JhOTc3OTljZTBmY2FhN2MzNTk3ODEifQ=="/>
  </w:docVars>
  <w:rsids>
    <w:rsidRoot w:val="00000000"/>
    <w:rsid w:val="5FB90A70"/>
  </w:rsids>
  <m:mathPr>
    <m:mathFont m:val="Cambria Math"/>
    <m:brkBin m:val="before"/>
    <m:brkBinSub m:val="--"/>
    <m:smallFrac m:val="1"/>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Autospacing="1" w:afterAutospacing="1"/>
      <w:jc w:val="left"/>
    </w:pPr>
    <w:rPr>
      <w:kern w:val="0"/>
      <w:sz w:val="24"/>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5"/>
    <w:link w:val="6"/>
    <w:qFormat/>
    <w:uiPriority w:val="0"/>
    <w:rPr>
      <w:rFonts w:ascii="Times New Roman" w:hAnsi="Times New Roman" w:eastAsia="宋体" w:cs="Times New Roman"/>
      <w:kern w:val="2"/>
      <w:sz w:val="18"/>
      <w:szCs w:val="18"/>
    </w:rPr>
  </w:style>
  <w:style w:type="character" w:customStyle="1" w:styleId="23">
    <w:name w:val="页眉 Char"/>
    <w:basedOn w:val="15"/>
    <w:link w:val="8"/>
    <w:qFormat/>
    <w:uiPriority w:val="0"/>
    <w:rPr>
      <w:rFonts w:ascii="Times New Roman" w:hAnsi="Times New Roman" w:eastAsia="宋体" w:cs="Times New Roman"/>
      <w:kern w:val="2"/>
      <w:sz w:val="18"/>
      <w:szCs w:val="18"/>
    </w:rPr>
  </w:style>
  <w:style w:type="character" w:customStyle="1" w:styleId="24">
    <w:name w:val="批注文字 Char"/>
    <w:basedOn w:val="15"/>
    <w:link w:val="17"/>
    <w:qFormat/>
    <w:uiPriority w:val="0"/>
    <w:rPr>
      <w:rFonts w:ascii="Times New Roman" w:hAnsi="Times New Roman" w:eastAsia="宋体" w:cs="Times New Roman"/>
      <w:kern w:val="2"/>
      <w:sz w:val="21"/>
      <w:szCs w:val="24"/>
    </w:rPr>
  </w:style>
  <w:style w:type="character" w:customStyle="1" w:styleId="25">
    <w:name w:val="批注主题 Char"/>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06eff85d-78ab-404d-bc0f-19379990a427}">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25</Pages>
  <Words>12900</Words>
  <Characters>13398</Characters>
  <Lines>94</Lines>
  <Paragraphs>26</Paragraphs>
  <TotalTime>8</TotalTime>
  <ScaleCrop>false</ScaleCrop>
  <LinksUpToDate>false</LinksUpToDate>
  <CharactersWithSpaces>13430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2025-11-13T05:07:13Z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F1A32EB7C53F433780EB4BD1AD3DECDF_13</vt:lpwstr>
  </property>
  <property fmtid="{D5CDD505-2E9C-101B-9397-08002B2CF9AE}" pid="4" name="KSOTemplateDocerSaveRecord">
    <vt:lpwstr>eyJoZGlkIjoiNTM1NjJiMTUwNmFhZWNlZmQwNDVjMDAxNDMwM2IwMDkiLCJ1c2VySWQiOiIzNzI2MDMzNTYifQ==</vt:lpwstr>
  </property>
</Properties>
</file>