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特克斯县第六小学2024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A6E065">
      <w:r>
        <w:br w:type="page"/>
      </w:r>
    </w:p>
    <w:p w14:paraId="1C7ED74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FE5F96E">
      <w:pPr>
        <w:spacing w:line="640" w:lineRule="exact"/>
        <w:ind w:firstLine="640"/>
        <w:jc w:val="both"/>
        <w:outlineLvl w:val="2"/>
      </w:pPr>
      <w:r>
        <w:rPr>
          <w:rFonts w:ascii="黑体" w:hAnsi="黑体" w:eastAsia="黑体"/>
          <w:sz w:val="32"/>
        </w:rPr>
        <w:t>一、主要职能</w:t>
      </w:r>
    </w:p>
    <w:p w14:paraId="28622BF4">
      <w:pPr>
        <w:spacing w:line="580" w:lineRule="exact"/>
        <w:ind w:firstLine="640"/>
        <w:jc w:val="both"/>
      </w:pPr>
      <w:r>
        <w:rPr>
          <w:rFonts w:ascii="仿宋_GB2312" w:hAnsi="仿宋_GB2312" w:eastAsia="仿宋_GB2312"/>
          <w:spacing w:val="6"/>
          <w:sz w:val="32"/>
        </w:rPr>
        <w:t>（一）宣传贯彻党的路线、方针、政策、坚持正确的办学方向</w:t>
      </w:r>
      <w:r>
        <w:rPr>
          <w:rFonts w:ascii="仿宋_GB2312" w:hAnsi="仿宋_GB2312" w:eastAsia="仿宋_GB2312"/>
          <w:sz w:val="32"/>
        </w:rPr>
        <w:t>。</w:t>
      </w:r>
    </w:p>
    <w:p w14:paraId="60E401FD">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14:paraId="30143311">
      <w:pPr>
        <w:spacing w:line="580" w:lineRule="exact"/>
        <w:ind w:firstLine="640"/>
        <w:jc w:val="both"/>
      </w:pPr>
      <w:r>
        <w:rPr>
          <w:rFonts w:ascii="仿宋_GB2312" w:hAnsi="仿宋_GB2312" w:eastAsia="仿宋_GB2312"/>
          <w:sz w:val="32"/>
        </w:rPr>
        <w:t>（三）编制学校教学计划，管理、协调教育活动，开展教学研究。</w:t>
      </w:r>
    </w:p>
    <w:p w14:paraId="4AE31FF4">
      <w:pPr>
        <w:spacing w:line="580" w:lineRule="exact"/>
        <w:ind w:firstLine="640"/>
        <w:jc w:val="both"/>
      </w:pPr>
      <w:r>
        <w:rPr>
          <w:rFonts w:ascii="仿宋_GB2312" w:hAnsi="仿宋_GB2312" w:eastAsia="仿宋_GB2312"/>
          <w:sz w:val="32"/>
        </w:rPr>
        <w:t>（四）完成教育局交办的其他工作。</w:t>
      </w:r>
    </w:p>
    <w:p w14:paraId="04D0BAA0">
      <w:pPr>
        <w:spacing w:line="640" w:lineRule="exact"/>
        <w:ind w:firstLine="640"/>
        <w:jc w:val="both"/>
        <w:outlineLvl w:val="2"/>
      </w:pPr>
      <w:r>
        <w:rPr>
          <w:rFonts w:ascii="黑体" w:hAnsi="黑体" w:eastAsia="黑体"/>
          <w:sz w:val="32"/>
        </w:rPr>
        <w:t>二、机构设置及人员情况</w:t>
      </w:r>
    </w:p>
    <w:p w14:paraId="303E38C7">
      <w:pPr>
        <w:spacing w:line="580" w:lineRule="exact"/>
        <w:ind w:firstLine="640"/>
        <w:jc w:val="both"/>
      </w:pPr>
      <w:r>
        <w:rPr>
          <w:rFonts w:ascii="仿宋_GB2312" w:hAnsi="仿宋_GB2312" w:eastAsia="仿宋_GB2312"/>
          <w:sz w:val="32"/>
        </w:rPr>
        <w:t>特克斯县第六小学2024年度，实有人数91人，其中：在职人员91人，减少2人；离休人员0人，增加0人；退休人员0人,增加0人。</w:t>
      </w:r>
    </w:p>
    <w:p w14:paraId="3CC3E374">
      <w:pPr>
        <w:spacing w:line="580" w:lineRule="exact"/>
        <w:ind w:firstLine="640"/>
        <w:jc w:val="both"/>
      </w:pPr>
      <w:r>
        <w:rPr>
          <w:rFonts w:ascii="仿宋_GB2312" w:hAnsi="仿宋_GB2312" w:eastAsia="仿宋_GB2312"/>
          <w:sz w:val="32"/>
        </w:rPr>
        <w:t>特克斯县第六小学无下属预算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，下设8个科室，分别是：办公室、党建办、德育处、教务处、教研室、总务处、后勤处、工会。</w:t>
      </w:r>
    </w:p>
    <w:p w14:paraId="07A4AE7A">
      <w:r>
        <w:br w:type="page"/>
      </w:r>
    </w:p>
    <w:p w14:paraId="75F27933">
      <w:pPr>
        <w:spacing w:line="240" w:lineRule="auto"/>
        <w:jc w:val="center"/>
        <w:outlineLvl w:val="1"/>
      </w:pPr>
      <w:r>
        <w:rPr>
          <w:rFonts w:ascii="黑体" w:hAnsi="黑体" w:eastAsia="黑体"/>
          <w:sz w:val="32"/>
        </w:rPr>
        <w:t>第二部分 部门决算情况说明</w:t>
      </w:r>
    </w:p>
    <w:p w14:paraId="1CE6B999">
      <w:pPr>
        <w:spacing w:line="640" w:lineRule="exact"/>
        <w:ind w:firstLine="640"/>
        <w:jc w:val="both"/>
        <w:outlineLvl w:val="2"/>
      </w:pPr>
      <w:r>
        <w:rPr>
          <w:rFonts w:ascii="黑体" w:hAnsi="黑体" w:eastAsia="黑体"/>
          <w:sz w:val="32"/>
        </w:rPr>
        <w:t>一、收入支出决算总体情况说明</w:t>
      </w:r>
    </w:p>
    <w:p w14:paraId="1A268099">
      <w:pPr>
        <w:spacing w:line="580" w:lineRule="exact"/>
        <w:ind w:firstLine="640"/>
        <w:jc w:val="both"/>
      </w:pPr>
      <w:r>
        <w:rPr>
          <w:rFonts w:ascii="仿宋_GB2312" w:hAnsi="仿宋_GB2312" w:eastAsia="仿宋_GB2312"/>
          <w:b/>
          <w:sz w:val="32"/>
        </w:rPr>
        <w:t>2024年度收入总计1,773.65万元，</w:t>
      </w:r>
      <w:r>
        <w:rPr>
          <w:rFonts w:ascii="仿宋_GB2312" w:hAnsi="仿宋_GB2312" w:eastAsia="仿宋_GB2312"/>
          <w:b w:val="0"/>
          <w:sz w:val="32"/>
        </w:rPr>
        <w:t>其中：本年收入合计1,773.65万元，使用非财政拨款结余（含专用结余）0.00万元，年初结转和结余0.00万元。</w:t>
      </w:r>
    </w:p>
    <w:p w14:paraId="49540DB6">
      <w:pPr>
        <w:spacing w:line="580" w:lineRule="exact"/>
        <w:ind w:firstLine="640"/>
        <w:jc w:val="both"/>
      </w:pPr>
      <w:r>
        <w:rPr>
          <w:rFonts w:ascii="仿宋_GB2312" w:hAnsi="仿宋_GB2312" w:eastAsia="仿宋_GB2312"/>
          <w:b/>
          <w:sz w:val="32"/>
        </w:rPr>
        <w:t>2024年度支出总计1,773.65万元，</w:t>
      </w:r>
      <w:r>
        <w:rPr>
          <w:rFonts w:ascii="仿宋_GB2312" w:hAnsi="仿宋_GB2312" w:eastAsia="仿宋_GB2312"/>
          <w:b w:val="0"/>
          <w:sz w:val="32"/>
        </w:rPr>
        <w:t>其中：本年支出合计</w:t>
      </w:r>
      <w:r>
        <w:rPr>
          <w:rFonts w:ascii="仿宋_GB2312" w:hAnsi="仿宋_GB2312" w:eastAsia="仿宋_GB2312"/>
          <w:spacing w:val="6"/>
          <w:sz w:val="32"/>
        </w:rPr>
        <w:t>1,773.65万元，结余分配0.00万元，年末结转和结余0.00万元。</w:t>
      </w:r>
    </w:p>
    <w:p w14:paraId="60E80638">
      <w:pPr>
        <w:spacing w:line="580" w:lineRule="exact"/>
        <w:ind w:firstLine="640"/>
        <w:jc w:val="both"/>
      </w:pPr>
      <w:r>
        <w:rPr>
          <w:rFonts w:ascii="仿宋_GB2312" w:hAnsi="仿宋_GB2312" w:eastAsia="仿宋_GB2312"/>
          <w:b w:val="0"/>
          <w:sz w:val="32"/>
        </w:rPr>
        <w:t>收入支出总体与上年相比，增加168.29万元，增长10.48%，主要原因是：本年在职人员工资调增，医疗、公积金基数调增，人员经费增加。</w:t>
      </w:r>
    </w:p>
    <w:p w14:paraId="5B5D8E33">
      <w:pPr>
        <w:spacing w:line="640" w:lineRule="exact"/>
        <w:ind w:firstLine="640"/>
        <w:jc w:val="both"/>
        <w:outlineLvl w:val="2"/>
      </w:pPr>
      <w:r>
        <w:rPr>
          <w:rFonts w:ascii="黑体" w:hAnsi="黑体" w:eastAsia="黑体"/>
          <w:sz w:val="32"/>
        </w:rPr>
        <w:t>二、收入决算情况说明</w:t>
      </w:r>
    </w:p>
    <w:p w14:paraId="150ECFCC">
      <w:pPr>
        <w:spacing w:line="580" w:lineRule="exact"/>
        <w:ind w:firstLine="640"/>
        <w:jc w:val="both"/>
      </w:pPr>
      <w:r>
        <w:rPr>
          <w:rFonts w:ascii="仿宋_GB2312" w:hAnsi="仿宋_GB2312" w:eastAsia="仿宋_GB2312"/>
          <w:b/>
          <w:sz w:val="32"/>
        </w:rPr>
        <w:t>本年收入1,773.65万元，</w:t>
      </w:r>
      <w:r>
        <w:rPr>
          <w:rFonts w:ascii="仿宋_GB2312" w:hAnsi="仿宋_GB2312" w:eastAsia="仿宋_GB2312"/>
          <w:b w:val="0"/>
          <w:sz w:val="32"/>
        </w:rPr>
        <w:t>其中：财政拨款收入1,685.63万元，占95.04%；上级补助收入0.00万元，占0.00%；事业收入0.00万元，占0.00%；经营收入0.00万元，占0.00%；附属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上缴收入0.00万元，占0.00%；其他收入88.02万元，占4.96%。</w:t>
      </w:r>
    </w:p>
    <w:p w14:paraId="78FA08B5">
      <w:pPr>
        <w:spacing w:line="640" w:lineRule="exact"/>
        <w:ind w:firstLine="640"/>
        <w:jc w:val="both"/>
        <w:outlineLvl w:val="2"/>
      </w:pPr>
      <w:r>
        <w:rPr>
          <w:rFonts w:ascii="黑体" w:hAnsi="黑体" w:eastAsia="黑体"/>
          <w:sz w:val="32"/>
        </w:rPr>
        <w:t>三、支出决算情况说明</w:t>
      </w:r>
    </w:p>
    <w:p w14:paraId="383DBF29">
      <w:pPr>
        <w:spacing w:line="580" w:lineRule="exact"/>
        <w:ind w:firstLine="640"/>
        <w:jc w:val="both"/>
      </w:pPr>
      <w:r>
        <w:rPr>
          <w:rFonts w:ascii="仿宋_GB2312" w:hAnsi="仿宋_GB2312" w:eastAsia="仿宋_GB2312"/>
          <w:b/>
          <w:sz w:val="32"/>
        </w:rPr>
        <w:t>本年支出1,773.65万元，</w:t>
      </w:r>
      <w:r>
        <w:rPr>
          <w:rFonts w:ascii="仿宋_GB2312" w:hAnsi="仿宋_GB2312" w:eastAsia="仿宋_GB2312"/>
          <w:b w:val="0"/>
          <w:sz w:val="32"/>
        </w:rPr>
        <w:t>其中：基本支出1,773.65万元，占100.00%；项目支出0.00万元，占0.00%；上缴上级支出0.00万元，占0.00%；经营支出0.00万元，占0.00%；对附属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5514C41">
      <w:pPr>
        <w:spacing w:line="640" w:lineRule="exact"/>
        <w:ind w:firstLine="640"/>
        <w:jc w:val="both"/>
        <w:outlineLvl w:val="2"/>
      </w:pPr>
      <w:r>
        <w:rPr>
          <w:rFonts w:ascii="黑体" w:hAnsi="黑体" w:eastAsia="黑体"/>
          <w:sz w:val="32"/>
        </w:rPr>
        <w:t>四、财政拨款收入支出决算总体情况说明</w:t>
      </w:r>
    </w:p>
    <w:p w14:paraId="4F84BAF2">
      <w:pPr>
        <w:spacing w:line="580" w:lineRule="exact"/>
        <w:ind w:firstLine="640"/>
        <w:jc w:val="both"/>
      </w:pPr>
      <w:r>
        <w:rPr>
          <w:rFonts w:ascii="仿宋_GB2312" w:hAnsi="仿宋_GB2312" w:eastAsia="仿宋_GB2312"/>
          <w:b/>
          <w:sz w:val="32"/>
        </w:rPr>
        <w:t>2024年度财政拨款收入总计1,685.63万元，</w:t>
      </w:r>
      <w:r>
        <w:rPr>
          <w:rFonts w:ascii="仿宋_GB2312" w:hAnsi="仿宋_GB2312" w:eastAsia="仿宋_GB2312"/>
          <w:b w:val="0"/>
          <w:sz w:val="32"/>
        </w:rPr>
        <w:t>其中：年初财政拨款结转和结余0.00万元，本年财政拨款收入1,685.63万元。</w:t>
      </w:r>
      <w:r>
        <w:rPr>
          <w:rFonts w:ascii="仿宋_GB2312" w:hAnsi="仿宋_GB2312" w:eastAsia="仿宋_GB2312"/>
          <w:b/>
          <w:sz w:val="32"/>
        </w:rPr>
        <w:t>财政拨款支出总计1,685.63万元，</w:t>
      </w:r>
      <w:r>
        <w:rPr>
          <w:rFonts w:ascii="仿宋_GB2312" w:hAnsi="仿宋_GB2312" w:eastAsia="仿宋_GB2312"/>
          <w:b w:val="0"/>
          <w:sz w:val="32"/>
        </w:rPr>
        <w:t>其中：年末财政拨款结转和结余0.00万元，本年财政拨款支出1,685.63万元。</w:t>
      </w:r>
    </w:p>
    <w:p w14:paraId="49454DC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增加166.37万元，增长10.95%，主要原因是：本年在职人员工资调增，医疗、公积金基数调增，人员经费增加。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年初预算数1,360.83万元，决算数1,685.63万元，预决算差异率23.87%，主要原因是：年中追加人员基本工资调标补发、社保、公积金基数调增部分资金，导致预决算存在差异。</w:t>
      </w:r>
    </w:p>
    <w:p w14:paraId="236BC775">
      <w:pPr>
        <w:spacing w:line="640" w:lineRule="exact"/>
        <w:ind w:firstLine="640"/>
        <w:jc w:val="both"/>
        <w:outlineLvl w:val="2"/>
      </w:pPr>
      <w:r>
        <w:rPr>
          <w:rFonts w:ascii="黑体" w:hAnsi="黑体" w:eastAsia="黑体"/>
          <w:sz w:val="32"/>
        </w:rPr>
        <w:t>五、一般公共预算财政拨款支出决算情况说明</w:t>
      </w:r>
    </w:p>
    <w:p w14:paraId="715E28B5">
      <w:pPr>
        <w:spacing w:line="640" w:lineRule="exact"/>
        <w:ind w:firstLine="640"/>
        <w:jc w:val="both"/>
        <w:outlineLvl w:val="3"/>
      </w:pPr>
      <w:r>
        <w:rPr>
          <w:rFonts w:ascii="楷体_GB2312" w:hAnsi="楷体_GB2312" w:eastAsia="楷体_GB2312"/>
          <w:b/>
          <w:sz w:val="32"/>
        </w:rPr>
        <w:t>（一）一般公共预算财政拨款支出决算总体情况</w:t>
      </w:r>
    </w:p>
    <w:p w14:paraId="4A52019E">
      <w:pPr>
        <w:spacing w:line="580" w:lineRule="exact"/>
        <w:ind w:firstLine="640"/>
        <w:jc w:val="both"/>
      </w:pPr>
      <w:r>
        <w:rPr>
          <w:rFonts w:ascii="仿宋_GB2312" w:hAnsi="仿宋_GB2312" w:eastAsia="仿宋_GB2312"/>
          <w:b/>
          <w:sz w:val="32"/>
        </w:rPr>
        <w:t>2024年度一般公共预算财政拨款支出1,685.63万元，</w:t>
      </w:r>
      <w:r>
        <w:rPr>
          <w:rFonts w:ascii="仿宋_GB2312" w:hAnsi="仿宋_GB2312" w:eastAsia="仿宋_GB2312"/>
          <w:b w:val="0"/>
          <w:sz w:val="32"/>
        </w:rPr>
        <w:t>占本年支出合计的95.04%。</w:t>
      </w:r>
      <w:r>
        <w:rPr>
          <w:rFonts w:ascii="仿宋_GB2312" w:hAnsi="仿宋_GB2312" w:eastAsia="仿宋_GB2312"/>
          <w:b/>
          <w:sz w:val="32"/>
        </w:rPr>
        <w:t>与上年相比，</w:t>
      </w:r>
      <w:r>
        <w:rPr>
          <w:rFonts w:ascii="仿宋_GB2312" w:hAnsi="仿宋_GB2312" w:eastAsia="仿宋_GB2312"/>
          <w:b w:val="0"/>
          <w:sz w:val="32"/>
        </w:rPr>
        <w:t>增加166.37万元，增长10.95%，主要原因是：本年在职人员工资调增，医疗、公积金基数调增，人员经费增加。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年初预算数1,360.83万元，决算数1,685.63万元，预决算差异率23.87%，主要原因是：年中追加人员基本工资调标补发、社保、公积金基数调增部分资金，导致预决算存在差异。</w:t>
      </w:r>
    </w:p>
    <w:p w14:paraId="01357FF7">
      <w:pPr>
        <w:spacing w:line="640" w:lineRule="exact"/>
        <w:ind w:firstLine="640"/>
        <w:jc w:val="both"/>
        <w:outlineLvl w:val="3"/>
      </w:pPr>
      <w:r>
        <w:rPr>
          <w:rFonts w:ascii="楷体_GB2312" w:hAnsi="楷体_GB2312" w:eastAsia="楷体_GB2312"/>
          <w:b/>
          <w:sz w:val="32"/>
        </w:rPr>
        <w:t>（二）一般公共预算财政拨款支出决算结构情况</w:t>
      </w:r>
    </w:p>
    <w:p w14:paraId="25856B44">
      <w:pPr>
        <w:spacing w:line="580" w:lineRule="exact"/>
        <w:ind w:firstLine="640"/>
        <w:jc w:val="both"/>
      </w:pPr>
      <w:r>
        <w:rPr>
          <w:rFonts w:ascii="仿宋_GB2312" w:hAnsi="仿宋_GB2312" w:eastAsia="仿宋_GB2312"/>
          <w:b w:val="0"/>
          <w:sz w:val="32"/>
        </w:rPr>
        <w:t>1.教育支出(类)1,440.23万元,占85.44%。</w:t>
      </w:r>
    </w:p>
    <w:p w14:paraId="57BEF5FC">
      <w:pPr>
        <w:spacing w:line="580" w:lineRule="exact"/>
        <w:ind w:firstLine="640"/>
        <w:jc w:val="both"/>
      </w:pPr>
      <w:r>
        <w:rPr>
          <w:rFonts w:ascii="仿宋_GB2312" w:hAnsi="仿宋_GB2312" w:eastAsia="仿宋_GB2312"/>
          <w:b w:val="0"/>
          <w:sz w:val="32"/>
        </w:rPr>
        <w:t>2.社会保障和就业支出(类)106.84万元,占6.34%。</w:t>
      </w:r>
    </w:p>
    <w:p w14:paraId="4E79DC70">
      <w:pPr>
        <w:spacing w:line="580" w:lineRule="exact"/>
        <w:ind w:firstLine="640"/>
        <w:jc w:val="both"/>
      </w:pPr>
      <w:r>
        <w:rPr>
          <w:rFonts w:ascii="仿宋_GB2312" w:hAnsi="仿宋_GB2312" w:eastAsia="仿宋_GB2312"/>
          <w:b w:val="0"/>
          <w:sz w:val="32"/>
        </w:rPr>
        <w:t>3.卫生健康支出(类)16.32万元,占0.97%。</w:t>
      </w:r>
    </w:p>
    <w:p w14:paraId="6907F135">
      <w:pPr>
        <w:spacing w:line="580" w:lineRule="exact"/>
        <w:ind w:firstLine="640"/>
        <w:jc w:val="both"/>
      </w:pPr>
      <w:r>
        <w:rPr>
          <w:rFonts w:ascii="仿宋_GB2312" w:hAnsi="仿宋_GB2312" w:eastAsia="仿宋_GB2312"/>
          <w:b w:val="0"/>
          <w:sz w:val="32"/>
        </w:rPr>
        <w:t>4.住房保障支出(类)122.23万元,占7.25%。</w:t>
      </w:r>
    </w:p>
    <w:p w14:paraId="5A2567B6">
      <w:pPr>
        <w:spacing w:line="640" w:lineRule="exact"/>
        <w:ind w:firstLine="640"/>
        <w:jc w:val="both"/>
        <w:outlineLvl w:val="3"/>
      </w:pPr>
      <w:r>
        <w:rPr>
          <w:rFonts w:ascii="楷体_GB2312" w:hAnsi="楷体_GB2312" w:eastAsia="楷体_GB2312"/>
          <w:b/>
          <w:sz w:val="32"/>
        </w:rPr>
        <w:t>（三）一般公共预算财政拨款支出决算具体情况</w:t>
      </w:r>
    </w:p>
    <w:p w14:paraId="6E07C5F6">
      <w:pPr>
        <w:spacing w:line="580" w:lineRule="exact"/>
        <w:ind w:firstLine="640"/>
        <w:jc w:val="both"/>
      </w:pPr>
      <w:r>
        <w:rPr>
          <w:rFonts w:ascii="仿宋_GB2312" w:hAnsi="仿宋_GB2312" w:eastAsia="仿宋_GB2312"/>
          <w:b w:val="0"/>
          <w:sz w:val="32"/>
        </w:rPr>
        <w:t>1.教育支出(类)普通教育(款)小学教育(项):支出决算数为1,440.23万元，比上年决算增加118.13万元，增长8.94%,主要原因是：本年度人员工资调增，相应支出增加。</w:t>
      </w:r>
    </w:p>
    <w:p w14:paraId="5949D871">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基本养老保险缴费支出(项):支出决算数为106.84万元，比上年决算减少2.37万元，下降2.17%,主要原因是：本年功能科目调整，</w:t>
      </w:r>
      <w:r>
        <w:rPr>
          <w:rFonts w:hint="eastAsia" w:ascii="仿宋_GB2312" w:hAnsi="仿宋_GB2312" w:eastAsia="仿宋_GB2312"/>
          <w:b w:val="0"/>
          <w:sz w:val="32"/>
          <w:lang w:val="en-US" w:eastAsia="zh-CN"/>
        </w:rPr>
        <w:t>部分养老保险经费</w:t>
      </w:r>
      <w:r>
        <w:rPr>
          <w:rFonts w:ascii="仿宋_GB2312" w:hAnsi="仿宋_GB2312" w:eastAsia="仿宋_GB2312"/>
          <w:b w:val="0"/>
          <w:sz w:val="32"/>
        </w:rPr>
        <w:t>在小学教育科目列支，导致</w:t>
      </w:r>
      <w:r>
        <w:rPr>
          <w:rFonts w:hint="eastAsia" w:ascii="仿宋_GB2312" w:hAnsi="仿宋_GB2312" w:eastAsia="仿宋_GB2312"/>
          <w:b w:val="0"/>
          <w:sz w:val="32"/>
          <w:lang w:val="en-US" w:eastAsia="zh-CN"/>
        </w:rPr>
        <w:t>此科目</w:t>
      </w:r>
      <w:r>
        <w:rPr>
          <w:rFonts w:ascii="仿宋_GB2312" w:hAnsi="仿宋_GB2312" w:eastAsia="仿宋_GB2312"/>
          <w:b w:val="0"/>
          <w:sz w:val="32"/>
        </w:rPr>
        <w:t>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3110C55B">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医疗(项):支出决算数为16.12万元，比上年决算增加16.12万元，增长100.00%,主要原因是：本年功能科目调整，事业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67A03CC8">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医疗支出(项):支出决算数为0.20万元，比上年决算增加0.20万元，增长100.00%,主要原因是：本年功能科目调整，其他行政事业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w:t>
      </w:r>
      <w:r>
        <w:rPr>
          <w:rFonts w:hint="eastAsia" w:ascii="仿宋_GB2312" w:hAnsi="仿宋_GB2312" w:eastAsia="仿宋_GB2312"/>
          <w:b w:val="0"/>
          <w:sz w:val="32"/>
          <w:lang w:eastAsia="zh-CN"/>
        </w:rPr>
        <w:t>支出</w:t>
      </w:r>
      <w:r>
        <w:rPr>
          <w:rFonts w:ascii="仿宋_GB2312" w:hAnsi="仿宋_GB2312" w:eastAsia="仿宋_GB2312"/>
          <w:b w:val="0"/>
          <w:sz w:val="32"/>
        </w:rPr>
        <w:t>上年度在主科目列支，本年单独列支，导致经费较上年增加。</w:t>
      </w:r>
    </w:p>
    <w:p w14:paraId="3CECDC2A">
      <w:pPr>
        <w:spacing w:line="580" w:lineRule="exact"/>
        <w:ind w:firstLine="640"/>
        <w:jc w:val="both"/>
        <w:rPr>
          <w:rFonts w:hint="default" w:eastAsia="仿宋_GB2312"/>
          <w:lang w:val="en-US" w:eastAsia="zh-CN"/>
        </w:rPr>
      </w:pPr>
      <w:r>
        <w:rPr>
          <w:rFonts w:ascii="仿宋_GB2312" w:hAnsi="仿宋_GB2312" w:eastAsia="仿宋_GB2312"/>
          <w:b w:val="0"/>
          <w:sz w:val="32"/>
        </w:rPr>
        <w:t>5.住房保障支出(类)住房改革支出(款)住房公积金(项):支出决算数为122.23万元，比上年决算增加34.28万元，增长38.98%,主要原因是：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本年在职人员工资基数调增，公积金缴费基数上涨，相应支出增加。</w:t>
      </w:r>
      <w:r>
        <w:rPr>
          <w:rFonts w:hint="eastAsia" w:ascii="仿宋_GB2312" w:hAnsi="仿宋_GB2312" w:eastAsia="仿宋_GB2312"/>
          <w:b w:val="0"/>
          <w:sz w:val="32"/>
          <w:lang w:val="en-US" w:eastAsia="zh-CN"/>
        </w:rPr>
        <w:t>二是上年部分住房公积金在小学教育科目列支，本年调整至本科目列支。</w:t>
      </w:r>
    </w:p>
    <w:p w14:paraId="4B051280">
      <w:pPr>
        <w:spacing w:line="640" w:lineRule="exact"/>
        <w:ind w:firstLine="640"/>
        <w:jc w:val="both"/>
        <w:outlineLvl w:val="2"/>
      </w:pPr>
      <w:r>
        <w:rPr>
          <w:rFonts w:ascii="黑体" w:hAnsi="黑体" w:eastAsia="黑体"/>
          <w:sz w:val="32"/>
        </w:rPr>
        <w:t>六、一般公共预算财政拨款基本支出决算情况说明</w:t>
      </w:r>
    </w:p>
    <w:p w14:paraId="74DEAE1B">
      <w:pPr>
        <w:spacing w:line="580" w:lineRule="exact"/>
        <w:ind w:firstLine="640"/>
        <w:jc w:val="both"/>
      </w:pPr>
      <w:r>
        <w:rPr>
          <w:rFonts w:ascii="仿宋_GB2312" w:hAnsi="仿宋_GB2312" w:eastAsia="仿宋_GB2312"/>
          <w:b w:val="0"/>
          <w:sz w:val="32"/>
        </w:rPr>
        <w:t>2024年度一般公共预算财政拨款基本支出1,685.63万元，其中：</w:t>
      </w:r>
      <w:r>
        <w:rPr>
          <w:rFonts w:ascii="仿宋_GB2312" w:hAnsi="仿宋_GB2312" w:eastAsia="仿宋_GB2312"/>
          <w:b/>
          <w:sz w:val="32"/>
        </w:rPr>
        <w:t>人员经费1,565.42万元，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w:t>
      </w:r>
      <w:r>
        <w:rPr>
          <w:rFonts w:ascii="仿宋_GB2312" w:hAnsi="仿宋_GB2312" w:eastAsia="仿宋_GB2312"/>
          <w:b w:val="0"/>
          <w:spacing w:val="6"/>
          <w:sz w:val="32"/>
        </w:rPr>
        <w:t>疗保险缴费、其他社会保障缴费、住房公积金、生活补助、助学金。</w:t>
      </w:r>
    </w:p>
    <w:p w14:paraId="3427D196">
      <w:pPr>
        <w:spacing w:line="580" w:lineRule="exact"/>
        <w:ind w:firstLine="640"/>
        <w:jc w:val="both"/>
      </w:pPr>
      <w:r>
        <w:rPr>
          <w:rFonts w:ascii="仿宋_GB2312" w:hAnsi="仿宋_GB2312" w:eastAsia="仿宋_GB2312"/>
          <w:b/>
          <w:sz w:val="32"/>
        </w:rPr>
        <w:t>公用经费120.21万元，</w:t>
      </w:r>
      <w:r>
        <w:rPr>
          <w:rFonts w:ascii="仿宋_GB2312" w:hAnsi="仿宋_GB2312" w:eastAsia="仿宋_GB2312"/>
          <w:b w:val="0"/>
          <w:sz w:val="32"/>
        </w:rPr>
        <w:t>包括：办公费、电费、邮电费、取暖费、物业管理费、差旅费、维修（护）费、培训费、专用材料费、工会经费、其他交通费用、税金及附加费用。</w:t>
      </w:r>
    </w:p>
    <w:p w14:paraId="654C9FEC">
      <w:pPr>
        <w:spacing w:line="640" w:lineRule="exact"/>
        <w:ind w:firstLine="640"/>
        <w:jc w:val="both"/>
        <w:outlineLvl w:val="2"/>
      </w:pPr>
      <w:r>
        <w:rPr>
          <w:rFonts w:ascii="黑体" w:hAnsi="黑体" w:eastAsia="黑体"/>
          <w:sz w:val="32"/>
        </w:rPr>
        <w:t>七、政府性基金预算财政拨款收入支出决算情况说明</w:t>
      </w:r>
    </w:p>
    <w:p w14:paraId="265D614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D6450CF">
      <w:pPr>
        <w:spacing w:line="640" w:lineRule="exact"/>
        <w:ind w:firstLine="640"/>
        <w:jc w:val="both"/>
        <w:outlineLvl w:val="2"/>
      </w:pPr>
      <w:r>
        <w:rPr>
          <w:rFonts w:ascii="黑体" w:hAnsi="黑体" w:eastAsia="黑体"/>
          <w:sz w:val="32"/>
        </w:rPr>
        <w:t>八、国有资本经营预算财政拨款收入支出决算情况说明</w:t>
      </w:r>
    </w:p>
    <w:p w14:paraId="3078A8F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C2D56D4">
      <w:pPr>
        <w:spacing w:line="640" w:lineRule="exact"/>
        <w:ind w:firstLine="640"/>
        <w:jc w:val="both"/>
        <w:outlineLvl w:val="2"/>
      </w:pPr>
      <w:r>
        <w:rPr>
          <w:rFonts w:ascii="黑体" w:hAnsi="黑体" w:eastAsia="黑体"/>
          <w:sz w:val="32"/>
        </w:rPr>
        <w:t>九、财政拨款“三公”经费支出决算情况说明</w:t>
      </w:r>
    </w:p>
    <w:p w14:paraId="73F68A5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0631BB7">
      <w:pPr>
        <w:spacing w:line="580" w:lineRule="exact"/>
        <w:ind w:firstLine="640"/>
        <w:jc w:val="both"/>
      </w:pPr>
      <w:r>
        <w:rPr>
          <w:rFonts w:ascii="仿宋_GB2312" w:hAnsi="仿宋_GB2312" w:eastAsia="仿宋_GB2312"/>
          <w:b/>
          <w:sz w:val="32"/>
        </w:rPr>
        <w:t>具体情况如下：</w:t>
      </w:r>
    </w:p>
    <w:p w14:paraId="1D458DC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1246924">
      <w:pPr>
        <w:spacing w:line="580" w:lineRule="exact"/>
        <w:ind w:firstLine="640"/>
        <w:jc w:val="both"/>
        <w:rPr>
          <w:rFonts w:ascii="仿宋_GB2312" w:hAnsi="仿宋_GB2312" w:eastAsia="仿宋_GB2312"/>
          <w:b w:val="0"/>
          <w:spacing w:val="6"/>
          <w:sz w:val="32"/>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w:t>
      </w:r>
      <w:r>
        <w:rPr>
          <w:rFonts w:ascii="仿宋_GB2312" w:hAnsi="仿宋_GB2312" w:eastAsia="仿宋_GB2312"/>
          <w:b w:val="0"/>
          <w:spacing w:val="6"/>
          <w:sz w:val="32"/>
        </w:rPr>
        <w:t>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36C3BFCB">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4D107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53D25A4">
      <w:pPr>
        <w:spacing w:line="640" w:lineRule="exact"/>
        <w:ind w:firstLine="640"/>
        <w:jc w:val="both"/>
        <w:outlineLvl w:val="2"/>
      </w:pPr>
      <w:r>
        <w:rPr>
          <w:rFonts w:ascii="黑体" w:hAnsi="黑体" w:eastAsia="黑体"/>
          <w:sz w:val="32"/>
        </w:rPr>
        <w:t>十、其他重要事项的情况说明</w:t>
      </w:r>
    </w:p>
    <w:p w14:paraId="3C8A10B4">
      <w:pPr>
        <w:spacing w:line="640" w:lineRule="exact"/>
        <w:ind w:firstLine="640"/>
        <w:jc w:val="both"/>
        <w:outlineLvl w:val="3"/>
      </w:pPr>
      <w:r>
        <w:rPr>
          <w:rFonts w:ascii="楷体_GB2312" w:hAnsi="楷体_GB2312" w:eastAsia="楷体_GB2312"/>
          <w:b/>
          <w:sz w:val="32"/>
        </w:rPr>
        <w:t>（一）机关运行经费及公用经费支出情况</w:t>
      </w:r>
    </w:p>
    <w:p w14:paraId="732D5BD3">
      <w:pPr>
        <w:spacing w:line="580" w:lineRule="exact"/>
        <w:ind w:firstLine="640"/>
        <w:jc w:val="both"/>
      </w:pPr>
      <w:r>
        <w:rPr>
          <w:rFonts w:ascii="仿宋_GB2312" w:hAnsi="仿宋_GB2312" w:eastAsia="仿宋_GB2312"/>
          <w:b w:val="0"/>
          <w:sz w:val="32"/>
        </w:rPr>
        <w:t>2024年度特克斯县第六小学（事业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）公用经费支出120.21万元，比上年减少49.64万元，下降29.23%，主要原因是：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学生人数减少，</w:t>
      </w:r>
      <w:r>
        <w:rPr>
          <w:rFonts w:hint="eastAsia" w:ascii="仿宋_GB2312" w:hAnsi="仿宋_GB2312" w:eastAsia="仿宋_GB2312"/>
          <w:b w:val="0"/>
          <w:sz w:val="32"/>
          <w:lang w:val="en-US" w:eastAsia="zh-CN"/>
        </w:rPr>
        <w:t>办公费、维修（护）</w:t>
      </w:r>
      <w:r>
        <w:rPr>
          <w:rFonts w:ascii="仿宋_GB2312" w:hAnsi="仿宋_GB2312" w:eastAsia="仿宋_GB2312"/>
          <w:b w:val="0"/>
          <w:sz w:val="32"/>
        </w:rPr>
        <w:t>经费支出减少。</w:t>
      </w:r>
    </w:p>
    <w:p w14:paraId="0CA93765">
      <w:pPr>
        <w:spacing w:line="640" w:lineRule="exact"/>
        <w:ind w:firstLine="640"/>
        <w:jc w:val="both"/>
        <w:outlineLvl w:val="3"/>
      </w:pPr>
      <w:r>
        <w:rPr>
          <w:rFonts w:ascii="楷体_GB2312" w:hAnsi="楷体_GB2312" w:eastAsia="楷体_GB2312"/>
          <w:b/>
          <w:sz w:val="32"/>
        </w:rPr>
        <w:t>（二）政府采购情况</w:t>
      </w:r>
    </w:p>
    <w:p w14:paraId="2B432F9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119511E">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AF3988B">
      <w:pPr>
        <w:spacing w:line="640" w:lineRule="exact"/>
        <w:ind w:firstLine="640"/>
        <w:jc w:val="both"/>
        <w:outlineLvl w:val="3"/>
      </w:pPr>
      <w:r>
        <w:rPr>
          <w:rFonts w:ascii="楷体_GB2312" w:hAnsi="楷体_GB2312" w:eastAsia="楷体_GB2312"/>
          <w:b/>
          <w:sz w:val="32"/>
        </w:rPr>
        <w:t>（三）国有资产占用情况说明</w:t>
      </w:r>
    </w:p>
    <w:p w14:paraId="4311FCE7">
      <w:pPr>
        <w:spacing w:line="580" w:lineRule="exact"/>
        <w:ind w:firstLine="640"/>
        <w:jc w:val="both"/>
      </w:pPr>
      <w:r>
        <w:rPr>
          <w:rFonts w:ascii="仿宋_GB2312" w:hAnsi="仿宋_GB2312" w:eastAsia="仿宋_GB2312"/>
          <w:b w:val="0"/>
          <w:sz w:val="32"/>
        </w:rPr>
        <w:t>截至2024年12月31日，房屋16,262.68平方米，价值2,034.56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4B8AAAA5">
      <w:pPr>
        <w:spacing w:line="640" w:lineRule="exact"/>
        <w:ind w:firstLine="640"/>
        <w:jc w:val="both"/>
        <w:outlineLvl w:val="2"/>
      </w:pPr>
      <w:r>
        <w:rPr>
          <w:rFonts w:ascii="黑体" w:hAnsi="黑体" w:eastAsia="黑体"/>
          <w:sz w:val="32"/>
        </w:rPr>
        <w:t>十一、预算绩效的情况说明</w:t>
      </w:r>
    </w:p>
    <w:p w14:paraId="742B0E6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2024年度预算绩效管理形成整体支出绩效自评表1个，全年预算总额1,773.65万元，实际执行总额1,773.65万元；预算绩效评价项目0个，全年预算数0.00万元，全年执行数0.00万元。预算绩效管理取得的成效：2024年我</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无预算绩效项目。发现的问题及原因：2024年我</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无预算绩效项目。下一步改进措施：2024年我</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无预算绩效项目。具体附整体支出绩效自评表。</w:t>
      </w:r>
    </w:p>
    <w:p w14:paraId="3B6DF0A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79F437B">
        <w:tblPrEx>
          <w:tblCellMar>
            <w:top w:w="0" w:type="dxa"/>
            <w:left w:w="108" w:type="dxa"/>
            <w:bottom w:w="0" w:type="dxa"/>
            <w:right w:w="108" w:type="dxa"/>
          </w:tblCellMar>
        </w:tblPrEx>
        <w:tc>
          <w:tcPr>
            <w:tcW w:w="8840" w:type="dxa"/>
            <w:gridSpan w:val="8"/>
            <w:vAlign w:val="center"/>
          </w:tcPr>
          <w:p w14:paraId="3340DF57">
            <w:pPr>
              <w:jc w:val="center"/>
            </w:pPr>
            <w:r>
              <w:rPr>
                <w:rFonts w:hint="eastAsia" w:ascii="宋体" w:hAnsi="宋体"/>
                <w:sz w:val="24"/>
                <w:lang w:eastAsia="zh-CN"/>
              </w:rPr>
              <w:t>单位</w:t>
            </w:r>
            <w:r>
              <w:rPr>
                <w:rFonts w:ascii="宋体" w:hAnsi="宋体" w:eastAsia="宋体"/>
                <w:sz w:val="24"/>
              </w:rPr>
              <w:t>整体支出绩效自评表</w:t>
            </w:r>
          </w:p>
        </w:tc>
      </w:tr>
      <w:tr w14:paraId="3CFD8EB4">
        <w:tblPrEx>
          <w:tblCellMar>
            <w:top w:w="0" w:type="dxa"/>
            <w:left w:w="108" w:type="dxa"/>
            <w:bottom w:w="0" w:type="dxa"/>
            <w:right w:w="108" w:type="dxa"/>
          </w:tblCellMar>
        </w:tblPrEx>
        <w:tc>
          <w:tcPr>
            <w:tcW w:w="8840" w:type="dxa"/>
            <w:gridSpan w:val="8"/>
            <w:vAlign w:val="center"/>
          </w:tcPr>
          <w:p w14:paraId="6093F5BB">
            <w:pPr>
              <w:jc w:val="center"/>
            </w:pPr>
            <w:r>
              <w:rPr>
                <w:rFonts w:ascii="宋体" w:hAnsi="宋体" w:eastAsia="宋体"/>
                <w:sz w:val="24"/>
              </w:rPr>
              <w:t>（2024年度）</w:t>
            </w:r>
          </w:p>
        </w:tc>
      </w:tr>
      <w:tr w14:paraId="4EC896E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7B9A5">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A0673">
            <w:pPr>
              <w:jc w:val="center"/>
            </w:pPr>
            <w:r>
              <w:rPr>
                <w:rFonts w:ascii="宋体" w:hAnsi="宋体" w:eastAsia="宋体"/>
                <w:sz w:val="16"/>
              </w:rPr>
              <w:t>特克斯县第六小学</w:t>
            </w:r>
          </w:p>
        </w:tc>
      </w:tr>
      <w:tr w14:paraId="4BCB0C7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8EA5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5490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3CB3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CD79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05C9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104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BB6F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BD5BE">
            <w:pPr>
              <w:jc w:val="center"/>
            </w:pPr>
            <w:r>
              <w:rPr>
                <w:rFonts w:ascii="宋体" w:hAnsi="宋体" w:eastAsia="宋体"/>
                <w:sz w:val="16"/>
              </w:rPr>
              <w:t>得分</w:t>
            </w:r>
          </w:p>
        </w:tc>
      </w:tr>
      <w:tr w14:paraId="5038CA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810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095C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04788">
            <w:pPr>
              <w:jc w:val="center"/>
            </w:pPr>
            <w:r>
              <w:rPr>
                <w:rFonts w:ascii="宋体" w:hAnsi="宋体" w:eastAsia="宋体"/>
                <w:sz w:val="16"/>
              </w:rPr>
              <w:t>1,360.83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77423">
            <w:pPr>
              <w:jc w:val="center"/>
            </w:pPr>
            <w:r>
              <w:rPr>
                <w:rFonts w:ascii="宋体" w:hAnsi="宋体" w:eastAsia="宋体"/>
                <w:sz w:val="16"/>
              </w:rPr>
              <w:t>1,773.65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2A02E">
            <w:pPr>
              <w:jc w:val="center"/>
            </w:pPr>
            <w:r>
              <w:rPr>
                <w:rFonts w:ascii="宋体" w:hAnsi="宋体" w:eastAsia="宋体"/>
                <w:sz w:val="16"/>
              </w:rPr>
              <w:t>1,773.65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DB87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F3F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4E3B6">
            <w:pPr>
              <w:jc w:val="center"/>
            </w:pPr>
            <w:r>
              <w:rPr>
                <w:rFonts w:ascii="宋体" w:hAnsi="宋体" w:eastAsia="宋体"/>
                <w:sz w:val="16"/>
              </w:rPr>
              <w:t>10</w:t>
            </w:r>
          </w:p>
        </w:tc>
      </w:tr>
      <w:tr w14:paraId="14EE5E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127B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1CA9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4EF7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E3987">
            <w:pPr>
              <w:jc w:val="center"/>
            </w:pPr>
            <w:r>
              <w:rPr>
                <w:rFonts w:ascii="宋体" w:hAnsi="宋体" w:eastAsia="宋体"/>
                <w:sz w:val="16"/>
              </w:rPr>
              <w:t>140.79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1D4DD">
            <w:pPr>
              <w:jc w:val="center"/>
            </w:pPr>
            <w:r>
              <w:rPr>
                <w:rFonts w:ascii="宋体" w:hAnsi="宋体" w:eastAsia="宋体"/>
                <w:sz w:val="16"/>
              </w:rPr>
              <w:t>140.79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C0B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867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107F3">
            <w:pPr>
              <w:jc w:val="center"/>
            </w:pPr>
            <w:r>
              <w:rPr>
                <w:rFonts w:ascii="宋体" w:hAnsi="宋体" w:eastAsia="宋体"/>
                <w:sz w:val="16"/>
              </w:rPr>
              <w:t>-</w:t>
            </w:r>
          </w:p>
        </w:tc>
      </w:tr>
      <w:tr w14:paraId="107729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2B76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3438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2174F">
            <w:pPr>
              <w:jc w:val="center"/>
            </w:pPr>
            <w:r>
              <w:rPr>
                <w:rFonts w:ascii="宋体" w:hAnsi="宋体" w:eastAsia="宋体"/>
                <w:sz w:val="16"/>
              </w:rPr>
              <w:t>1,360.83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65C05">
            <w:pPr>
              <w:jc w:val="center"/>
            </w:pPr>
            <w:r>
              <w:rPr>
                <w:rFonts w:ascii="宋体" w:hAnsi="宋体" w:eastAsia="宋体"/>
                <w:sz w:val="16"/>
              </w:rPr>
              <w:t>1,544.84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A7E091">
            <w:pPr>
              <w:jc w:val="center"/>
            </w:pPr>
            <w:r>
              <w:rPr>
                <w:rFonts w:ascii="宋体" w:hAnsi="宋体" w:eastAsia="宋体"/>
                <w:sz w:val="16"/>
              </w:rPr>
              <w:t>1,544.84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49B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364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E657A">
            <w:pPr>
              <w:jc w:val="center"/>
            </w:pPr>
            <w:r>
              <w:rPr>
                <w:rFonts w:ascii="宋体" w:hAnsi="宋体" w:eastAsia="宋体"/>
                <w:sz w:val="16"/>
              </w:rPr>
              <w:t>-</w:t>
            </w:r>
          </w:p>
        </w:tc>
      </w:tr>
      <w:tr w14:paraId="12B5A5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1FDD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A872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D841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72E1C">
            <w:pPr>
              <w:jc w:val="center"/>
            </w:pPr>
            <w:r>
              <w:rPr>
                <w:rFonts w:ascii="宋体" w:hAnsi="宋体" w:eastAsia="宋体"/>
                <w:sz w:val="16"/>
              </w:rPr>
              <w:t>88.02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D42C5">
            <w:pPr>
              <w:jc w:val="center"/>
            </w:pPr>
            <w:r>
              <w:rPr>
                <w:rFonts w:ascii="宋体" w:hAnsi="宋体" w:eastAsia="宋体"/>
                <w:sz w:val="16"/>
              </w:rPr>
              <w:t>88.02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C6D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A61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7FC1D">
            <w:pPr>
              <w:jc w:val="center"/>
            </w:pPr>
            <w:r>
              <w:rPr>
                <w:rFonts w:ascii="宋体" w:hAnsi="宋体" w:eastAsia="宋体"/>
                <w:sz w:val="16"/>
              </w:rPr>
              <w:t>-</w:t>
            </w:r>
          </w:p>
        </w:tc>
      </w:tr>
      <w:tr w14:paraId="3EC693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CDF5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21090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33A14">
            <w:pPr>
              <w:jc w:val="center"/>
            </w:pPr>
            <w:r>
              <w:rPr>
                <w:rFonts w:ascii="宋体" w:hAnsi="宋体" w:eastAsia="宋体"/>
                <w:sz w:val="16"/>
              </w:rPr>
              <w:t>实际完成情况</w:t>
            </w:r>
          </w:p>
        </w:tc>
      </w:tr>
      <w:tr w14:paraId="451395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753DA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99A4F">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F3EA5C">
            <w:pPr>
              <w:jc w:val="both"/>
            </w:pPr>
            <w:r>
              <w:rPr>
                <w:rFonts w:ascii="宋体" w:hAnsi="宋体" w:eastAsia="宋体"/>
                <w:sz w:val="16"/>
              </w:rPr>
              <w:t>为全面贯彻党的教育方针，落实立德树人根本任务，推动学校高质量发展，现结合党建、德育、教务重点工作，制定本学期工作计划如下：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党建引领，筑牢发展根基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在新的一年里，学校党建工作将以党的教育方针为指导，深入贯彻党的最新理论成果，进一步加强党组织的凝聚力和战斗力。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思想建设：继续开展“党建+思政”活动，利用红色教育资源，组织师生参观红色教育基地，传承红色基因，增强师生的爱国主义情感和民族精神。</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组织建设：完善党组织结构，加强党员队伍建设，定期开展党员培训和学习活动，提高党员的政治素质和业务能力。设立党员教师示范岗，开展“党员教师公开课”活动，发挥党员教师在教学改革中的先锋模范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 制度建设：建立健全党内各项制度，如“三会一课”制度、民主评议党员制度等，确保党内生活的规范化和制度化。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二、教务提质，赋能教学改革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教务教研工作是学校教学质量的生命线，本年度将围绕“提高教学质量，促进教师专业成长”的目标，扎实开展各项工作。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课程体系优化：结合学校实际情况，完善课程体系，融入新时代的教育理念和技术手段。特别是要加强AI人工智能教育的融入，开发适合不同年级的AI体验课程，培养学生的创新思维和实践能力。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教学方法创新：鼓励教师依据学科特点，探索和推广“大单元”、“建模型”、“真情景”等教学方法，利用AI工具辅助教学，提升课堂互动性和趣味性。同时，要加强教学研究，定期组织教学研讨会和观摩课活动，促进教师之间的交流和学习。</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 教师专业发展：加强教师培训，提高教师的专业素养和教学能力。组织教师参加各级各类教研活动和教学比赛，鼓励教师积极撰写教学论文和参加课题研究，提升学校的整体教研水平。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三、德育为先，培育时代新人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德育工作是学校工作的灵魂，本年度将围绕“立德树人”的根本任务，加强德育工作的针对性和实效性。</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德育活动育人：开展丰富多彩的德育活动，如“文明礼仪月”、“环保小卫士”、“艺术节”等，培养学生的身心素养和健康体质。同时，要加强班级文化建设，营造良好的班级氛围。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家校协同育人：进一步完善家校沟通机制，定期召开家长会，邀请家长参与学校活动，形成教育合力。同时，要加强与社区的联系，拓展德育工作的空间和渠道。</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 心理健康教育：加强学生的心理健康教育，建立健全心理健康教育和辅导机制。定期开展心理健康讲座和心理咨询活动，帮助学生解决心理问题，提高学生的心理健康水平。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意识形态领域：始终坚持马克思主义在意识形态领域的指导地位，通过丰富多彩的思想政治教育活动、严谨规范的课程设置以及积极向上的校园文化氛围营造，引导师生树立正确的世界观、人生观、价值观。同时，注重倾听师生心声，及时回应关切，通过开放包容的交流平台，促进思想碰撞与融合，既尊重差异、包容多样，又有效抵御不良思潮的侵蚀，确保学校成为传播先进文化、培育时代新人的坚强阵地。</w:t>
            </w:r>
          </w:p>
        </w:tc>
      </w:tr>
      <w:tr w14:paraId="599E130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009C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867C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A6C7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0974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4FEA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52C7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4337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FDA66">
            <w:pPr>
              <w:jc w:val="center"/>
            </w:pPr>
            <w:r>
              <w:rPr>
                <w:rFonts w:ascii="宋体" w:hAnsi="宋体" w:eastAsia="宋体"/>
                <w:sz w:val="16"/>
              </w:rPr>
              <w:t>得分</w:t>
            </w:r>
          </w:p>
        </w:tc>
      </w:tr>
      <w:tr w14:paraId="1BF6F6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F8AA4">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B70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0C3E1">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8EFA4">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258A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CFAB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92863">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987AF">
            <w:pPr>
              <w:jc w:val="center"/>
            </w:pPr>
            <w:r>
              <w:rPr>
                <w:rFonts w:ascii="宋体" w:hAnsi="宋体" w:eastAsia="宋体"/>
                <w:sz w:val="16"/>
              </w:rPr>
              <w:t>15</w:t>
            </w:r>
          </w:p>
        </w:tc>
      </w:tr>
      <w:tr w14:paraId="3F92D5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8114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D50E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17F91">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F9D6B">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02154">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10C3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2CB38">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39519">
            <w:pPr>
              <w:jc w:val="center"/>
            </w:pPr>
            <w:r>
              <w:rPr>
                <w:rFonts w:ascii="宋体" w:hAnsi="宋体" w:eastAsia="宋体"/>
                <w:sz w:val="16"/>
              </w:rPr>
              <w:t>15</w:t>
            </w:r>
          </w:p>
        </w:tc>
      </w:tr>
      <w:tr w14:paraId="31F6AE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6F55A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F509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957CB">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6A1AA">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9680D">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315B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9E14E">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F9775">
            <w:pPr>
              <w:jc w:val="center"/>
            </w:pPr>
            <w:r>
              <w:rPr>
                <w:rFonts w:ascii="宋体" w:hAnsi="宋体" w:eastAsia="宋体"/>
                <w:sz w:val="16"/>
              </w:rPr>
              <w:t>15</w:t>
            </w:r>
          </w:p>
        </w:tc>
      </w:tr>
      <w:tr w14:paraId="3AA48F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A9CD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8A12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8B8FA">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99D36">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3D595">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FA66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45066">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BF676">
            <w:pPr>
              <w:jc w:val="center"/>
            </w:pPr>
            <w:r>
              <w:rPr>
                <w:rFonts w:ascii="宋体" w:hAnsi="宋体" w:eastAsia="宋体"/>
                <w:sz w:val="16"/>
              </w:rPr>
              <w:t>15</w:t>
            </w:r>
          </w:p>
        </w:tc>
      </w:tr>
      <w:tr w14:paraId="1C505B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CA79A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9ED9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B01CA">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421F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32D2B">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1540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E02B5">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85D11">
            <w:pPr>
              <w:jc w:val="center"/>
            </w:pPr>
            <w:r>
              <w:rPr>
                <w:rFonts w:ascii="宋体" w:hAnsi="宋体" w:eastAsia="宋体"/>
                <w:sz w:val="16"/>
              </w:rPr>
              <w:t>15</w:t>
            </w:r>
          </w:p>
        </w:tc>
      </w:tr>
      <w:tr w14:paraId="28DB40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90F2C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DE3C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5C84E">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F59C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2744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052A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0A00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D64B8">
            <w:pPr>
              <w:jc w:val="center"/>
            </w:pPr>
            <w:r>
              <w:rPr>
                <w:rFonts w:ascii="宋体" w:hAnsi="宋体" w:eastAsia="宋体"/>
                <w:sz w:val="16"/>
              </w:rPr>
              <w:t>15</w:t>
            </w:r>
          </w:p>
        </w:tc>
      </w:tr>
    </w:tbl>
    <w:p w14:paraId="770904D6">
      <w:r>
        <w:br w:type="page"/>
      </w:r>
    </w:p>
    <w:p w14:paraId="7DD5CD44">
      <w:pPr>
        <w:spacing w:line="640" w:lineRule="exact"/>
        <w:ind w:firstLine="640"/>
        <w:jc w:val="both"/>
        <w:outlineLvl w:val="2"/>
      </w:pPr>
      <w:r>
        <w:rPr>
          <w:rFonts w:ascii="黑体" w:hAnsi="黑体" w:eastAsia="黑体"/>
          <w:sz w:val="32"/>
        </w:rPr>
        <w:t>十二、其他需说明的事项</w:t>
      </w:r>
    </w:p>
    <w:p w14:paraId="1874A45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2024年度无政府采购支出，授予中小企业合同金额0.00万元。</w:t>
      </w:r>
    </w:p>
    <w:p w14:paraId="4894B6AB">
      <w:r>
        <w:br w:type="page"/>
      </w:r>
    </w:p>
    <w:p w14:paraId="6B7F4B39">
      <w:pPr>
        <w:spacing w:line="240" w:lineRule="auto"/>
        <w:jc w:val="center"/>
        <w:outlineLvl w:val="1"/>
      </w:pPr>
      <w:r>
        <w:rPr>
          <w:rFonts w:ascii="黑体" w:hAnsi="黑体" w:eastAsia="黑体"/>
          <w:sz w:val="32"/>
        </w:rPr>
        <w:t>第三部分 专业名词解释</w:t>
      </w:r>
    </w:p>
    <w:p w14:paraId="69877D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DE599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A9C06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CCCA1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9EEED9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A0189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D1F0A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E1404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243C3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0B4E9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B00A4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DD60F1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8EE4BA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DAFD37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0AE0D99">
      <w:r>
        <w:br w:type="page"/>
      </w:r>
    </w:p>
    <w:p w14:paraId="46B72178">
      <w:pPr>
        <w:spacing w:line="240" w:lineRule="auto"/>
        <w:jc w:val="center"/>
        <w:outlineLvl w:val="1"/>
      </w:pPr>
      <w:r>
        <w:rPr>
          <w:rFonts w:ascii="黑体" w:hAnsi="黑体" w:eastAsia="黑体"/>
          <w:sz w:val="32"/>
        </w:rPr>
        <w:t>第四部分 部门决算报表（见附表）</w:t>
      </w:r>
    </w:p>
    <w:p w14:paraId="68D76807">
      <w:pPr>
        <w:spacing w:line="240" w:lineRule="auto"/>
        <w:ind w:firstLine="640"/>
        <w:jc w:val="both"/>
      </w:pPr>
      <w:r>
        <w:rPr>
          <w:rFonts w:ascii="仿宋_GB2312" w:hAnsi="仿宋_GB2312" w:eastAsia="仿宋_GB2312"/>
          <w:b w:val="0"/>
          <w:sz w:val="32"/>
        </w:rPr>
        <w:t>一、《收入支出决算总表》</w:t>
      </w:r>
    </w:p>
    <w:p w14:paraId="56FA7703">
      <w:pPr>
        <w:spacing w:line="240" w:lineRule="auto"/>
        <w:ind w:firstLine="640"/>
        <w:jc w:val="both"/>
      </w:pPr>
      <w:r>
        <w:rPr>
          <w:rFonts w:ascii="仿宋_GB2312" w:hAnsi="仿宋_GB2312" w:eastAsia="仿宋_GB2312"/>
          <w:b w:val="0"/>
          <w:sz w:val="32"/>
        </w:rPr>
        <w:t>二、《收入决算表》</w:t>
      </w:r>
    </w:p>
    <w:p w14:paraId="7E66AE3D">
      <w:pPr>
        <w:spacing w:line="240" w:lineRule="auto"/>
        <w:ind w:firstLine="640"/>
        <w:jc w:val="both"/>
      </w:pPr>
      <w:r>
        <w:rPr>
          <w:rFonts w:ascii="仿宋_GB2312" w:hAnsi="仿宋_GB2312" w:eastAsia="仿宋_GB2312"/>
          <w:b w:val="0"/>
          <w:sz w:val="32"/>
        </w:rPr>
        <w:t>三、《支出决算表》</w:t>
      </w:r>
    </w:p>
    <w:p w14:paraId="1F6CE7EC">
      <w:pPr>
        <w:spacing w:line="240" w:lineRule="auto"/>
        <w:ind w:firstLine="640"/>
        <w:jc w:val="both"/>
      </w:pPr>
      <w:r>
        <w:rPr>
          <w:rFonts w:ascii="仿宋_GB2312" w:hAnsi="仿宋_GB2312" w:eastAsia="仿宋_GB2312"/>
          <w:b w:val="0"/>
          <w:sz w:val="32"/>
        </w:rPr>
        <w:t>四、《财政拨款收入支出决算总表》</w:t>
      </w:r>
    </w:p>
    <w:p w14:paraId="4BDDC848">
      <w:pPr>
        <w:spacing w:line="240" w:lineRule="auto"/>
        <w:ind w:firstLine="640"/>
        <w:jc w:val="both"/>
      </w:pPr>
      <w:r>
        <w:rPr>
          <w:rFonts w:ascii="仿宋_GB2312" w:hAnsi="仿宋_GB2312" w:eastAsia="仿宋_GB2312"/>
          <w:b w:val="0"/>
          <w:sz w:val="32"/>
        </w:rPr>
        <w:t>五、《一般公共预算财政拨款支出决算表》</w:t>
      </w:r>
    </w:p>
    <w:p w14:paraId="313F75AF">
      <w:pPr>
        <w:spacing w:line="240" w:lineRule="auto"/>
        <w:ind w:firstLine="640"/>
        <w:jc w:val="both"/>
      </w:pPr>
      <w:r>
        <w:rPr>
          <w:rFonts w:ascii="仿宋_GB2312" w:hAnsi="仿宋_GB2312" w:eastAsia="仿宋_GB2312"/>
          <w:b w:val="0"/>
          <w:sz w:val="32"/>
        </w:rPr>
        <w:t>六、《一般公共预算财政拨款基本支出决算表》</w:t>
      </w:r>
    </w:p>
    <w:p w14:paraId="08FD3183">
      <w:pPr>
        <w:spacing w:line="240" w:lineRule="auto"/>
        <w:ind w:firstLine="640"/>
        <w:jc w:val="both"/>
      </w:pPr>
      <w:r>
        <w:rPr>
          <w:rFonts w:ascii="仿宋_GB2312" w:hAnsi="仿宋_GB2312" w:eastAsia="仿宋_GB2312"/>
          <w:b w:val="0"/>
          <w:sz w:val="32"/>
        </w:rPr>
        <w:t>七、《政府性基金预算财政拨款收入支出决算表》</w:t>
      </w:r>
    </w:p>
    <w:p w14:paraId="21FB0B33">
      <w:pPr>
        <w:spacing w:line="240" w:lineRule="auto"/>
        <w:ind w:firstLine="640"/>
        <w:jc w:val="both"/>
      </w:pPr>
      <w:r>
        <w:rPr>
          <w:rFonts w:ascii="仿宋_GB2312" w:hAnsi="仿宋_GB2312" w:eastAsia="仿宋_GB2312"/>
          <w:b w:val="0"/>
          <w:sz w:val="32"/>
        </w:rPr>
        <w:t>八、《国有资本经营预算财政拨款收入支出决算表》</w:t>
      </w:r>
    </w:p>
    <w:p w14:paraId="453DD9D9">
      <w:pPr>
        <w:spacing w:line="240" w:lineRule="auto"/>
        <w:ind w:firstLine="640"/>
        <w:jc w:val="both"/>
      </w:pPr>
      <w:r>
        <w:rPr>
          <w:rFonts w:ascii="仿宋_GB2312" w:hAnsi="仿宋_GB2312" w:eastAsia="仿宋_GB2312"/>
          <w:b w:val="0"/>
          <w:sz w:val="32"/>
        </w:rPr>
        <w:t>九、《财政拨款“三公”经费支出决算表》</w:t>
      </w:r>
    </w:p>
    <w:p w14:paraId="52FBE2AC">
      <w:pPr>
        <w:spacing w:line="240" w:lineRule="auto"/>
        <w:ind w:firstLine="640"/>
        <w:jc w:val="both"/>
      </w:pPr>
    </w:p>
    <w:p w14:paraId="6977AF52">
      <w:pPr>
        <w:spacing w:line="240" w:lineRule="auto"/>
        <w:ind w:firstLine="640"/>
        <w:jc w:val="both"/>
      </w:pPr>
    </w:p>
    <w:p w14:paraId="7C8EDF22">
      <w:pPr>
        <w:spacing w:line="240" w:lineRule="auto"/>
        <w:ind w:firstLine="640"/>
        <w:jc w:val="both"/>
      </w:pPr>
    </w:p>
    <w:p w14:paraId="54B116CF">
      <w:pPr>
        <w:spacing w:line="240" w:lineRule="auto"/>
        <w:ind w:firstLine="640"/>
        <w:jc w:val="both"/>
      </w:pPr>
    </w:p>
    <w:p w14:paraId="15BDFB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372DDB"/>
    <w:rsid w:val="3D5275AC"/>
    <w:rsid w:val="3EA7725F"/>
    <w:rsid w:val="3EC014A1"/>
    <w:rsid w:val="3F0A535A"/>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0B58D8"/>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17d8eb-29d9-4af6-a956-599b1adcd05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3912</Words>
  <Characters>4590</Characters>
  <Lines>0</Lines>
  <Paragraphs>0</Paragraphs>
  <TotalTime>0</TotalTime>
  <ScaleCrop>false</ScaleCrop>
  <LinksUpToDate>false</LinksUpToDate>
  <CharactersWithSpaces>4598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