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特克斯县齐勒乌泽克镇寄宿制初级中学2024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1F1AC89">
      <w:r>
        <w:br w:type="page"/>
      </w:r>
    </w:p>
    <w:p w14:paraId="6A4E6E5C">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22E1EA6A">
      <w:pPr>
        <w:spacing w:line="640" w:lineRule="exact"/>
        <w:ind w:firstLine="640"/>
        <w:jc w:val="both"/>
        <w:outlineLvl w:val="2"/>
      </w:pPr>
      <w:r>
        <w:rPr>
          <w:rFonts w:ascii="黑体" w:hAnsi="黑体" w:eastAsia="黑体"/>
          <w:sz w:val="32"/>
        </w:rPr>
        <w:t>一、主要职能</w:t>
      </w:r>
    </w:p>
    <w:p w14:paraId="426D5999">
      <w:pPr>
        <w:spacing w:line="580" w:lineRule="exact"/>
        <w:ind w:firstLine="640"/>
        <w:jc w:val="both"/>
      </w:pPr>
      <w:r>
        <w:rPr>
          <w:rFonts w:ascii="仿宋_GB2312" w:hAnsi="仿宋_GB2312" w:eastAsia="仿宋_GB2312"/>
          <w:sz w:val="32"/>
        </w:rPr>
        <w:t>1.宣传贯彻党的路线、方针、政策、坚持正确的办学方向。</w:t>
      </w:r>
    </w:p>
    <w:p w14:paraId="35E1C407">
      <w:pPr>
        <w:spacing w:line="580" w:lineRule="exact"/>
        <w:ind w:firstLine="640"/>
        <w:jc w:val="both"/>
      </w:pPr>
      <w:r>
        <w:rPr>
          <w:rFonts w:ascii="仿宋_GB2312" w:hAnsi="仿宋_GB2312" w:eastAsia="仿宋_GB2312"/>
          <w:sz w:val="32"/>
        </w:rPr>
        <w:t>2.负责党的理论教育研讨工作，指导干部学习党的理论，培养合格的党员干部。</w:t>
      </w:r>
    </w:p>
    <w:p w14:paraId="660190EB">
      <w:pPr>
        <w:spacing w:line="580" w:lineRule="exact"/>
        <w:ind w:firstLine="640"/>
        <w:jc w:val="both"/>
      </w:pPr>
      <w:r>
        <w:rPr>
          <w:rFonts w:ascii="仿宋_GB2312" w:hAnsi="仿宋_GB2312" w:eastAsia="仿宋_GB2312"/>
          <w:sz w:val="32"/>
        </w:rPr>
        <w:t>3.编制学校教学计划，管理、协调教育活动，开展教学研究。</w:t>
      </w:r>
    </w:p>
    <w:p w14:paraId="2BE65183">
      <w:pPr>
        <w:spacing w:line="580" w:lineRule="exact"/>
        <w:ind w:firstLine="640"/>
        <w:jc w:val="both"/>
      </w:pPr>
      <w:r>
        <w:rPr>
          <w:rFonts w:ascii="仿宋_GB2312" w:hAnsi="仿宋_GB2312" w:eastAsia="仿宋_GB2312"/>
          <w:sz w:val="32"/>
        </w:rPr>
        <w:t>4.完成学校交办的其他工作。</w:t>
      </w:r>
    </w:p>
    <w:p w14:paraId="347C17E2">
      <w:pPr>
        <w:spacing w:line="640" w:lineRule="exact"/>
        <w:ind w:firstLine="640"/>
        <w:jc w:val="both"/>
        <w:outlineLvl w:val="2"/>
      </w:pPr>
      <w:r>
        <w:rPr>
          <w:rFonts w:ascii="黑体" w:hAnsi="黑体" w:eastAsia="黑体"/>
          <w:sz w:val="32"/>
        </w:rPr>
        <w:t>二、机构设置及人员情况</w:t>
      </w:r>
    </w:p>
    <w:p w14:paraId="5C836FAF">
      <w:pPr>
        <w:spacing w:line="580" w:lineRule="exact"/>
        <w:ind w:firstLine="640"/>
        <w:jc w:val="both"/>
      </w:pPr>
      <w:r>
        <w:rPr>
          <w:rFonts w:ascii="仿宋_GB2312" w:hAnsi="仿宋_GB2312" w:eastAsia="仿宋_GB2312"/>
          <w:sz w:val="32"/>
        </w:rPr>
        <w:t>特克斯县齐勒乌泽克镇寄宿制初级中学2024年度，实有人数589人，其中：在职人员447人，减少21人；离休人员0人，增加0人；退休人员142人,增加18人。</w:t>
      </w:r>
    </w:p>
    <w:p w14:paraId="75A6D2A4">
      <w:pPr>
        <w:spacing w:line="580" w:lineRule="exact"/>
        <w:ind w:firstLine="640"/>
        <w:jc w:val="both"/>
      </w:pPr>
      <w:r>
        <w:rPr>
          <w:rFonts w:ascii="仿宋_GB2312" w:hAnsi="仿宋_GB2312" w:eastAsia="仿宋_GB2312"/>
          <w:sz w:val="32"/>
        </w:rPr>
        <w:t>特克斯县齐勒乌泽克镇寄宿制初级中学无下属预算</w:t>
      </w:r>
      <w:r>
        <w:rPr>
          <w:rFonts w:hint="eastAsia" w:ascii="仿宋_GB2312" w:hAnsi="仿宋_GB2312" w:eastAsia="仿宋_GB2312"/>
          <w:sz w:val="32"/>
          <w:lang w:eastAsia="zh-CN"/>
        </w:rPr>
        <w:t>单位</w:t>
      </w:r>
      <w:r>
        <w:rPr>
          <w:rFonts w:ascii="仿宋_GB2312" w:hAnsi="仿宋_GB2312" w:eastAsia="仿宋_GB2312"/>
          <w:sz w:val="32"/>
        </w:rPr>
        <w:t>，下设6个科室，分别是：办公室、教务处、党建办、政教处、总务处、工会。</w:t>
      </w:r>
    </w:p>
    <w:p w14:paraId="33C32261">
      <w:r>
        <w:br w:type="page"/>
      </w:r>
    </w:p>
    <w:p w14:paraId="4E1FA3E8">
      <w:pPr>
        <w:spacing w:line="240" w:lineRule="auto"/>
        <w:jc w:val="center"/>
        <w:outlineLvl w:val="1"/>
      </w:pPr>
      <w:r>
        <w:rPr>
          <w:rFonts w:ascii="黑体" w:hAnsi="黑体" w:eastAsia="黑体"/>
          <w:sz w:val="32"/>
        </w:rPr>
        <w:t>第二部分 部门决算情况说明</w:t>
      </w:r>
    </w:p>
    <w:p w14:paraId="40EB2A51">
      <w:pPr>
        <w:spacing w:line="640" w:lineRule="exact"/>
        <w:ind w:firstLine="640"/>
        <w:jc w:val="both"/>
        <w:outlineLvl w:val="2"/>
      </w:pPr>
      <w:r>
        <w:rPr>
          <w:rFonts w:ascii="黑体" w:hAnsi="黑体" w:eastAsia="黑体"/>
          <w:sz w:val="32"/>
        </w:rPr>
        <w:t>一、收入支出决算总体情况说明</w:t>
      </w:r>
    </w:p>
    <w:p w14:paraId="2769B4B3">
      <w:pPr>
        <w:spacing w:line="580" w:lineRule="exact"/>
        <w:ind w:firstLine="640"/>
        <w:jc w:val="both"/>
      </w:pPr>
      <w:r>
        <w:rPr>
          <w:rFonts w:ascii="仿宋_GB2312" w:hAnsi="仿宋_GB2312" w:eastAsia="仿宋_GB2312"/>
          <w:b/>
          <w:sz w:val="32"/>
        </w:rPr>
        <w:t>2024年度收入总计8,050.81万元，</w:t>
      </w:r>
      <w:r>
        <w:rPr>
          <w:rFonts w:ascii="仿宋_GB2312" w:hAnsi="仿宋_GB2312" w:eastAsia="仿宋_GB2312"/>
          <w:b w:val="0"/>
          <w:sz w:val="32"/>
        </w:rPr>
        <w:t>其中：本年收入合计8,050.81万元，使用非财政拨款结余（含专用结余）0.00万元，年初结转和结余0.00万元。</w:t>
      </w:r>
    </w:p>
    <w:p w14:paraId="204DF6DC">
      <w:pPr>
        <w:spacing w:line="580" w:lineRule="exact"/>
        <w:ind w:firstLine="640"/>
        <w:jc w:val="both"/>
      </w:pPr>
      <w:r>
        <w:rPr>
          <w:rFonts w:ascii="仿宋_GB2312" w:hAnsi="仿宋_GB2312" w:eastAsia="仿宋_GB2312"/>
          <w:b/>
          <w:sz w:val="32"/>
        </w:rPr>
        <w:t>2024年度支出总计8,050.81万元，</w:t>
      </w:r>
      <w:r>
        <w:rPr>
          <w:rFonts w:ascii="仿宋_GB2312" w:hAnsi="仿宋_GB2312" w:eastAsia="仿宋_GB2312"/>
          <w:b w:val="0"/>
          <w:sz w:val="32"/>
        </w:rPr>
        <w:t>其中：本年支出合计</w:t>
      </w:r>
      <w:r>
        <w:rPr>
          <w:rFonts w:ascii="仿宋_GB2312" w:hAnsi="仿宋_GB2312" w:eastAsia="仿宋_GB2312"/>
          <w:b w:val="0"/>
          <w:spacing w:val="6"/>
          <w:sz w:val="32"/>
        </w:rPr>
        <w:t>8,050.81万元，结余分配0.00万元，年末结转和结余0.00万元。</w:t>
      </w:r>
    </w:p>
    <w:p w14:paraId="2DD70E34">
      <w:pPr>
        <w:spacing w:line="580" w:lineRule="exact"/>
        <w:ind w:firstLine="640"/>
        <w:jc w:val="both"/>
      </w:pPr>
      <w:r>
        <w:rPr>
          <w:rFonts w:ascii="仿宋_GB2312" w:hAnsi="仿宋_GB2312" w:eastAsia="仿宋_GB2312"/>
          <w:b w:val="0"/>
          <w:sz w:val="32"/>
        </w:rPr>
        <w:t>收入支出总体与上年相比，增加272.05万元，增长3.50%，主要原因是：本年在职人员工资调增，社保、公积金基数调增，人员经费增加。本年课后托管费较上年增加。</w:t>
      </w:r>
    </w:p>
    <w:p w14:paraId="12BF2D7F">
      <w:pPr>
        <w:spacing w:line="640" w:lineRule="exact"/>
        <w:ind w:firstLine="640"/>
        <w:jc w:val="both"/>
        <w:outlineLvl w:val="2"/>
      </w:pPr>
      <w:r>
        <w:rPr>
          <w:rFonts w:ascii="黑体" w:hAnsi="黑体" w:eastAsia="黑体"/>
          <w:sz w:val="32"/>
        </w:rPr>
        <w:t>二、收入决算情况说明</w:t>
      </w:r>
    </w:p>
    <w:p w14:paraId="34492112">
      <w:pPr>
        <w:spacing w:line="580" w:lineRule="exact"/>
        <w:ind w:firstLine="640"/>
        <w:jc w:val="both"/>
      </w:pPr>
      <w:r>
        <w:rPr>
          <w:rFonts w:ascii="仿宋_GB2312" w:hAnsi="仿宋_GB2312" w:eastAsia="仿宋_GB2312"/>
          <w:b/>
          <w:sz w:val="32"/>
        </w:rPr>
        <w:t>本年收入8,050.81万元，</w:t>
      </w:r>
      <w:r>
        <w:rPr>
          <w:rFonts w:ascii="仿宋_GB2312" w:hAnsi="仿宋_GB2312" w:eastAsia="仿宋_GB2312"/>
          <w:b w:val="0"/>
          <w:sz w:val="32"/>
        </w:rPr>
        <w:t>其中：财政拨款收入7,951.89万元，占98.77%；上级补助收入0.00万元，占0.00%；事业收入0.00万元，占0.00%；经营收入0.00万元，占0.00%；附属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上缴收入0.00万元，占0.00%；其他收入98.91万元，占1.23%。</w:t>
      </w:r>
    </w:p>
    <w:p w14:paraId="1ADEDE8B">
      <w:pPr>
        <w:spacing w:line="640" w:lineRule="exact"/>
        <w:ind w:firstLine="640"/>
        <w:jc w:val="both"/>
        <w:outlineLvl w:val="2"/>
      </w:pPr>
      <w:r>
        <w:rPr>
          <w:rFonts w:ascii="黑体" w:hAnsi="黑体" w:eastAsia="黑体"/>
          <w:sz w:val="32"/>
        </w:rPr>
        <w:t>三、支出决算情况说明</w:t>
      </w:r>
    </w:p>
    <w:p w14:paraId="3219DB89">
      <w:pPr>
        <w:spacing w:line="580" w:lineRule="exact"/>
        <w:ind w:firstLine="640"/>
        <w:jc w:val="both"/>
      </w:pPr>
      <w:r>
        <w:rPr>
          <w:rFonts w:ascii="仿宋_GB2312" w:hAnsi="仿宋_GB2312" w:eastAsia="仿宋_GB2312"/>
          <w:b/>
          <w:sz w:val="32"/>
        </w:rPr>
        <w:t>本年支出8,050.81万元，</w:t>
      </w:r>
      <w:r>
        <w:rPr>
          <w:rFonts w:ascii="仿宋_GB2312" w:hAnsi="仿宋_GB2312" w:eastAsia="仿宋_GB2312"/>
          <w:b w:val="0"/>
          <w:sz w:val="32"/>
        </w:rPr>
        <w:t>其中：基本支出8,050.81万元，占100.00%；项目支出0.00万元，占0.00%；上缴上级支出0.00万元，占0.00%；经营支出0.00万元，占0.00%；对附属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5C8B3BD5">
      <w:pPr>
        <w:spacing w:line="640" w:lineRule="exact"/>
        <w:ind w:firstLine="640"/>
        <w:jc w:val="both"/>
        <w:outlineLvl w:val="2"/>
      </w:pPr>
      <w:r>
        <w:rPr>
          <w:rFonts w:ascii="黑体" w:hAnsi="黑体" w:eastAsia="黑体"/>
          <w:sz w:val="32"/>
        </w:rPr>
        <w:t>四、财政拨款收入支出决算总体情况说明</w:t>
      </w:r>
    </w:p>
    <w:p w14:paraId="7933BFA1">
      <w:pPr>
        <w:spacing w:line="580" w:lineRule="exact"/>
        <w:ind w:firstLine="640"/>
        <w:jc w:val="both"/>
      </w:pPr>
      <w:r>
        <w:rPr>
          <w:rFonts w:ascii="仿宋_GB2312" w:hAnsi="仿宋_GB2312" w:eastAsia="仿宋_GB2312"/>
          <w:b/>
          <w:sz w:val="32"/>
        </w:rPr>
        <w:t>2024年度财政拨款收入总计7,951.89万元，</w:t>
      </w:r>
      <w:r>
        <w:rPr>
          <w:rFonts w:ascii="仿宋_GB2312" w:hAnsi="仿宋_GB2312" w:eastAsia="仿宋_GB2312"/>
          <w:b w:val="0"/>
          <w:sz w:val="32"/>
        </w:rPr>
        <w:t>其中：年初财政拨款结转和结余0.00万元，本年财政拨款收入7,951.89万元。</w:t>
      </w:r>
      <w:r>
        <w:rPr>
          <w:rFonts w:ascii="仿宋_GB2312" w:hAnsi="仿宋_GB2312" w:eastAsia="仿宋_GB2312"/>
          <w:b/>
          <w:sz w:val="32"/>
        </w:rPr>
        <w:t>财政拨款支出总计7,951.89万元，</w:t>
      </w:r>
      <w:r>
        <w:rPr>
          <w:rFonts w:ascii="仿宋_GB2312" w:hAnsi="仿宋_GB2312" w:eastAsia="仿宋_GB2312"/>
          <w:b w:val="0"/>
          <w:sz w:val="32"/>
        </w:rPr>
        <w:t>其中：年末财政拨款结转和结余0.00万元，本年财政拨款支出7,951.89万元。</w:t>
      </w:r>
    </w:p>
    <w:p w14:paraId="584F0ECD">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增加233.94万元，增长3.03%，主要原因是：本年在职人员工资调增，社保、公积金基数调增，人员经费增加。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年初预算数7,413.59万元，决算数7,951.89万元，预决算差异率7.26%，主要原因是：年中追加人员工资、社保、公积金基数调增部分资金，追加补发津贴补贴，导致预决算存在差异。</w:t>
      </w:r>
    </w:p>
    <w:p w14:paraId="1406298C">
      <w:pPr>
        <w:spacing w:line="640" w:lineRule="exact"/>
        <w:ind w:firstLine="640"/>
        <w:jc w:val="both"/>
        <w:outlineLvl w:val="2"/>
      </w:pPr>
      <w:r>
        <w:rPr>
          <w:rFonts w:ascii="黑体" w:hAnsi="黑体" w:eastAsia="黑体"/>
          <w:sz w:val="32"/>
        </w:rPr>
        <w:t>五、一般公共预算财政拨款支出决算情况说明</w:t>
      </w:r>
    </w:p>
    <w:p w14:paraId="79DBF31B">
      <w:pPr>
        <w:spacing w:line="640" w:lineRule="exact"/>
        <w:ind w:firstLine="640"/>
        <w:jc w:val="both"/>
        <w:outlineLvl w:val="3"/>
      </w:pPr>
      <w:r>
        <w:rPr>
          <w:rFonts w:ascii="楷体_GB2312" w:hAnsi="楷体_GB2312" w:eastAsia="楷体_GB2312"/>
          <w:b/>
          <w:sz w:val="32"/>
        </w:rPr>
        <w:t>（一）一般公共预算财政拨款支出决算总体情况</w:t>
      </w:r>
    </w:p>
    <w:p w14:paraId="0AC89AFE">
      <w:pPr>
        <w:spacing w:line="580" w:lineRule="exact"/>
        <w:ind w:firstLine="640"/>
        <w:jc w:val="both"/>
      </w:pPr>
      <w:r>
        <w:rPr>
          <w:rFonts w:ascii="仿宋_GB2312" w:hAnsi="仿宋_GB2312" w:eastAsia="仿宋_GB2312"/>
          <w:b/>
          <w:sz w:val="32"/>
        </w:rPr>
        <w:t>2024年度一般公共预算财政拨款支出7,951.89万元，</w:t>
      </w:r>
      <w:r>
        <w:rPr>
          <w:rFonts w:ascii="仿宋_GB2312" w:hAnsi="仿宋_GB2312" w:eastAsia="仿宋_GB2312"/>
          <w:b w:val="0"/>
          <w:sz w:val="32"/>
        </w:rPr>
        <w:t>占本年支出合计的98.77%。</w:t>
      </w:r>
      <w:r>
        <w:rPr>
          <w:rFonts w:ascii="仿宋_GB2312" w:hAnsi="仿宋_GB2312" w:eastAsia="仿宋_GB2312"/>
          <w:b/>
          <w:sz w:val="32"/>
        </w:rPr>
        <w:t>与上年相比，</w:t>
      </w:r>
      <w:r>
        <w:rPr>
          <w:rFonts w:ascii="仿宋_GB2312" w:hAnsi="仿宋_GB2312" w:eastAsia="仿宋_GB2312"/>
          <w:b w:val="0"/>
          <w:sz w:val="32"/>
        </w:rPr>
        <w:t>增加233.94万元，增长3.03%，主要原因是：本年在职人员工资调增，社保、公积金基数调增，人员经费增加。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年初预算数7,413.59万元，决算数7,951.89万元，预决算差异率7.26%，主要原因是：年中追加人员工资、社保、公积金基数调增部分资金，追加补发津贴补贴，导致预决算存在差异。</w:t>
      </w:r>
    </w:p>
    <w:p w14:paraId="2C16CB7B">
      <w:pPr>
        <w:spacing w:line="640" w:lineRule="exact"/>
        <w:ind w:firstLine="640"/>
        <w:jc w:val="both"/>
        <w:outlineLvl w:val="3"/>
      </w:pPr>
      <w:r>
        <w:rPr>
          <w:rFonts w:ascii="楷体_GB2312" w:hAnsi="楷体_GB2312" w:eastAsia="楷体_GB2312"/>
          <w:b/>
          <w:sz w:val="32"/>
        </w:rPr>
        <w:t>（二）一般公共预算财政拨款支出决算结构情况</w:t>
      </w:r>
    </w:p>
    <w:p w14:paraId="1DB7C901">
      <w:pPr>
        <w:spacing w:line="580" w:lineRule="exact"/>
        <w:ind w:firstLine="640"/>
        <w:jc w:val="both"/>
      </w:pPr>
      <w:r>
        <w:rPr>
          <w:rFonts w:ascii="仿宋_GB2312" w:hAnsi="仿宋_GB2312" w:eastAsia="仿宋_GB2312"/>
          <w:b w:val="0"/>
          <w:sz w:val="32"/>
        </w:rPr>
        <w:t>1.教育支出(类)6,692.29万元,占84.16%。</w:t>
      </w:r>
    </w:p>
    <w:p w14:paraId="0EF63D36">
      <w:pPr>
        <w:spacing w:line="580" w:lineRule="exact"/>
        <w:ind w:firstLine="640"/>
        <w:jc w:val="both"/>
      </w:pPr>
      <w:r>
        <w:rPr>
          <w:rFonts w:ascii="仿宋_GB2312" w:hAnsi="仿宋_GB2312" w:eastAsia="仿宋_GB2312"/>
          <w:b w:val="0"/>
          <w:sz w:val="32"/>
        </w:rPr>
        <w:t>2.社会保障和就业支出(类)611.05万元,占7.68%。</w:t>
      </w:r>
    </w:p>
    <w:p w14:paraId="4590BD7B">
      <w:pPr>
        <w:spacing w:line="580" w:lineRule="exact"/>
        <w:ind w:firstLine="640"/>
        <w:jc w:val="both"/>
      </w:pPr>
      <w:r>
        <w:rPr>
          <w:rFonts w:ascii="仿宋_GB2312" w:hAnsi="仿宋_GB2312" w:eastAsia="仿宋_GB2312"/>
          <w:b w:val="0"/>
          <w:sz w:val="32"/>
        </w:rPr>
        <w:t>3.卫生健康支出(类)75.87万元,占0.95%。</w:t>
      </w:r>
    </w:p>
    <w:p w14:paraId="1655A5B3">
      <w:pPr>
        <w:spacing w:line="580" w:lineRule="exact"/>
        <w:ind w:firstLine="640"/>
        <w:jc w:val="both"/>
      </w:pPr>
      <w:r>
        <w:rPr>
          <w:rFonts w:ascii="仿宋_GB2312" w:hAnsi="仿宋_GB2312" w:eastAsia="仿宋_GB2312"/>
          <w:b w:val="0"/>
          <w:sz w:val="32"/>
        </w:rPr>
        <w:t>4.住房保障支出(类)572.68万元,占7.20%。</w:t>
      </w:r>
    </w:p>
    <w:p w14:paraId="0B851727">
      <w:pPr>
        <w:spacing w:line="640" w:lineRule="exact"/>
        <w:ind w:firstLine="640"/>
        <w:jc w:val="both"/>
        <w:outlineLvl w:val="3"/>
      </w:pPr>
      <w:r>
        <w:rPr>
          <w:rFonts w:ascii="楷体_GB2312" w:hAnsi="楷体_GB2312" w:eastAsia="楷体_GB2312"/>
          <w:b/>
          <w:sz w:val="32"/>
        </w:rPr>
        <w:t>（三）一般公共预算财政拨款支出决算具体情况</w:t>
      </w:r>
    </w:p>
    <w:p w14:paraId="37BA51D3">
      <w:pPr>
        <w:spacing w:line="580" w:lineRule="exact"/>
        <w:ind w:firstLine="640"/>
        <w:jc w:val="both"/>
      </w:pPr>
      <w:r>
        <w:rPr>
          <w:rFonts w:ascii="仿宋_GB2312" w:hAnsi="仿宋_GB2312" w:eastAsia="仿宋_GB2312"/>
          <w:b w:val="0"/>
          <w:sz w:val="32"/>
        </w:rPr>
        <w:t>1.教育支出(类)普通教育(款)学前教育(项):支出决算数为1,251.73万元，比上年决算增加461.77万元，增长58.45%,主要原因是：本年功能科目调整，部分在职教师工资福利支出</w:t>
      </w:r>
      <w:r>
        <w:rPr>
          <w:rFonts w:hint="eastAsia" w:ascii="仿宋_GB2312" w:hAnsi="仿宋_GB2312" w:eastAsia="仿宋_GB2312"/>
          <w:b w:val="0"/>
          <w:sz w:val="32"/>
          <w:lang w:val="en-US" w:eastAsia="zh-CN"/>
        </w:rPr>
        <w:t>从初中教育科目</w:t>
      </w:r>
      <w:r>
        <w:rPr>
          <w:rFonts w:ascii="仿宋_GB2312" w:hAnsi="仿宋_GB2312" w:eastAsia="仿宋_GB2312"/>
          <w:b w:val="0"/>
          <w:sz w:val="32"/>
        </w:rPr>
        <w:t>调整至此科目列支，导致学前教育决算数增长。</w:t>
      </w:r>
    </w:p>
    <w:p w14:paraId="7E5B99FC">
      <w:pPr>
        <w:spacing w:line="580" w:lineRule="exact"/>
        <w:ind w:firstLine="640"/>
        <w:jc w:val="both"/>
      </w:pPr>
      <w:r>
        <w:rPr>
          <w:rFonts w:ascii="仿宋_GB2312" w:hAnsi="仿宋_GB2312" w:eastAsia="仿宋_GB2312"/>
          <w:b w:val="0"/>
          <w:sz w:val="32"/>
        </w:rPr>
        <w:t>2.教育支出(类)普通教育(款)小学教育(项):支出决算数为3,946.94万元，比上年决算增加294.45万元，增长8.06%,主要原因是：本年教师基本工资调增，补发津贴补贴，导致人员经费较上年增加。</w:t>
      </w:r>
    </w:p>
    <w:p w14:paraId="2551AF28">
      <w:pPr>
        <w:spacing w:line="580" w:lineRule="exact"/>
        <w:ind w:firstLine="640"/>
        <w:jc w:val="both"/>
      </w:pPr>
      <w:r>
        <w:rPr>
          <w:rFonts w:ascii="仿宋_GB2312" w:hAnsi="仿宋_GB2312" w:eastAsia="仿宋_GB2312"/>
          <w:b w:val="0"/>
          <w:sz w:val="32"/>
        </w:rPr>
        <w:t>3.教育支出(类)普通教育(款)初中教育(项):支出决算数为1,493.62万元，比上年决算减少695.46万元，下降31.77%,主要原因是：一是本年初中教师减少，二是本年功能科目调整，部分在职教师工资福利支出调整至学前教育科目列支，导致本科目经费减少。</w:t>
      </w:r>
    </w:p>
    <w:p w14:paraId="23A17D50">
      <w:pPr>
        <w:spacing w:line="580" w:lineRule="exact"/>
        <w:ind w:firstLine="640"/>
        <w:jc w:val="both"/>
      </w:pPr>
      <w:r>
        <w:rPr>
          <w:rFonts w:ascii="仿宋_GB2312" w:hAnsi="仿宋_GB2312" w:eastAsia="仿宋_GB2312"/>
          <w:b w:val="0"/>
          <w:sz w:val="32"/>
        </w:rPr>
        <w:t>4.社会保障和就业支出(类)行政事业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基本养老保险缴费支出(项):支出决算数为499.55万元，比上年决算减少50.29万元，下降9.15%,主要原因是：本年功能科目调整，</w:t>
      </w:r>
      <w:r>
        <w:rPr>
          <w:rFonts w:hint="eastAsia" w:ascii="仿宋_GB2312" w:hAnsi="仿宋_GB2312" w:eastAsia="仿宋_GB2312"/>
          <w:b w:val="0"/>
          <w:sz w:val="32"/>
          <w:lang w:val="en-US" w:eastAsia="zh-CN"/>
        </w:rPr>
        <w:t>部分养老保险经费</w:t>
      </w:r>
      <w:r>
        <w:rPr>
          <w:rFonts w:ascii="仿宋_GB2312" w:hAnsi="仿宋_GB2312" w:eastAsia="仿宋_GB2312"/>
          <w:b w:val="0"/>
          <w:sz w:val="32"/>
        </w:rPr>
        <w:t>在小学教育科目列支，导致</w:t>
      </w:r>
      <w:r>
        <w:rPr>
          <w:rFonts w:hint="eastAsia" w:ascii="仿宋_GB2312" w:hAnsi="仿宋_GB2312" w:eastAsia="仿宋_GB2312"/>
          <w:b w:val="0"/>
          <w:sz w:val="32"/>
          <w:lang w:val="en-US" w:eastAsia="zh-CN"/>
        </w:rPr>
        <w:t>此科目</w:t>
      </w:r>
      <w:r>
        <w:rPr>
          <w:rFonts w:ascii="仿宋_GB2312" w:hAnsi="仿宋_GB2312" w:eastAsia="仿宋_GB2312"/>
          <w:b w:val="0"/>
          <w:sz w:val="32"/>
        </w:rPr>
        <w:t>经费较上年</w:t>
      </w:r>
      <w:r>
        <w:rPr>
          <w:rFonts w:hint="eastAsia" w:ascii="仿宋_GB2312" w:hAnsi="仿宋_GB2312" w:eastAsia="仿宋_GB2312"/>
          <w:b w:val="0"/>
          <w:sz w:val="32"/>
          <w:lang w:val="en-US" w:eastAsia="zh-CN"/>
        </w:rPr>
        <w:t>减少</w:t>
      </w:r>
      <w:r>
        <w:rPr>
          <w:rFonts w:ascii="仿宋_GB2312" w:hAnsi="仿宋_GB2312" w:eastAsia="仿宋_GB2312"/>
          <w:b w:val="0"/>
          <w:sz w:val="32"/>
        </w:rPr>
        <w:t>。</w:t>
      </w:r>
    </w:p>
    <w:p w14:paraId="089E1F09">
      <w:pPr>
        <w:spacing w:line="580" w:lineRule="exact"/>
        <w:ind w:firstLine="640"/>
        <w:jc w:val="both"/>
      </w:pPr>
      <w:r>
        <w:rPr>
          <w:rFonts w:ascii="仿宋_GB2312" w:hAnsi="仿宋_GB2312" w:eastAsia="仿宋_GB2312"/>
          <w:b w:val="0"/>
          <w:sz w:val="32"/>
        </w:rPr>
        <w:t>5.社会保障和就业支出(类)行政事业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职业年金缴费支出(项):支出决算数为75.57万元，比上年决算增加7.33万元，增长10.74%,主要原因是：本年新增退休人员较上年增加，职业年金缴费支出增加。</w:t>
      </w:r>
    </w:p>
    <w:p w14:paraId="27ABCC97">
      <w:pPr>
        <w:spacing w:line="580" w:lineRule="exact"/>
        <w:ind w:firstLine="640"/>
        <w:jc w:val="both"/>
      </w:pPr>
      <w:r>
        <w:rPr>
          <w:rFonts w:ascii="仿宋_GB2312" w:hAnsi="仿宋_GB2312" w:eastAsia="仿宋_GB2312"/>
          <w:b w:val="0"/>
          <w:sz w:val="32"/>
        </w:rPr>
        <w:t>6.社会保障和就业支出(类)抚恤(款)死亡抚恤(项):支出决算数为35.94万元，比上年决算增加5.14万元，增长16.69%,主要原因是：本年死亡人员较上年增加，死亡抚恤支出增加。</w:t>
      </w:r>
    </w:p>
    <w:p w14:paraId="149DB4B6">
      <w:pPr>
        <w:spacing w:line="580" w:lineRule="exact"/>
        <w:ind w:firstLine="640"/>
        <w:jc w:val="both"/>
      </w:pPr>
      <w:r>
        <w:rPr>
          <w:rFonts w:ascii="仿宋_GB2312" w:hAnsi="仿宋_GB2312" w:eastAsia="仿宋_GB2312"/>
          <w:b w:val="0"/>
          <w:sz w:val="32"/>
        </w:rPr>
        <w:t>7.卫生健康支出(类)行政事业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医疗(款)事业</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医疗(项):支出决算数为74.52万元，比上年决算增加74.52万元，增长100.00%,主要原因是：本年功能科目调整，事业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医疗支出上年度在小学教育科目列支，本年单独列支，导致经费较上年增加。</w:t>
      </w:r>
    </w:p>
    <w:p w14:paraId="1BCAA20B">
      <w:pPr>
        <w:spacing w:line="580" w:lineRule="exact"/>
        <w:ind w:firstLine="640"/>
        <w:jc w:val="both"/>
      </w:pPr>
      <w:r>
        <w:rPr>
          <w:rFonts w:ascii="仿宋_GB2312" w:hAnsi="仿宋_GB2312" w:eastAsia="仿宋_GB2312"/>
          <w:b w:val="0"/>
          <w:sz w:val="32"/>
        </w:rPr>
        <w:t>8.卫生健康支出(类)行政事业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医疗支出(项):支出决算数为1.34万元，比上年决算增加1.34万元，增长100.00%,主要原因是：本年功能科目调整，其他行政事业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医疗支出上年度在小学教育科目列支，本年单独列支，导致经费较上年增加。</w:t>
      </w:r>
    </w:p>
    <w:p w14:paraId="3E0CA3C0">
      <w:pPr>
        <w:spacing w:line="580" w:lineRule="exact"/>
        <w:ind w:firstLine="640"/>
        <w:jc w:val="both"/>
      </w:pPr>
      <w:r>
        <w:rPr>
          <w:rFonts w:ascii="仿宋_GB2312" w:hAnsi="仿宋_GB2312" w:eastAsia="仿宋_GB2312"/>
          <w:b w:val="0"/>
          <w:sz w:val="32"/>
        </w:rPr>
        <w:t>9.住房保障支出(类)住房改革支出(款)住房公积金(项):支出决算数为572.68万元，比上年决算增加135.13万元，增长30.88%,主要原因是：一是本年在职人员工资基数调增，公积金缴费基数上涨，相应支出增加。二是上年度部分住房公积金在小学教育科目列支，本年全部在本科目列支，相应支出增加。</w:t>
      </w:r>
    </w:p>
    <w:p w14:paraId="2371CF74">
      <w:pPr>
        <w:spacing w:line="640" w:lineRule="exact"/>
        <w:ind w:firstLine="640"/>
        <w:jc w:val="both"/>
        <w:outlineLvl w:val="2"/>
      </w:pPr>
      <w:r>
        <w:rPr>
          <w:rFonts w:ascii="黑体" w:hAnsi="黑体" w:eastAsia="黑体"/>
          <w:sz w:val="32"/>
        </w:rPr>
        <w:t>六、一般公共预算财政拨款基本支出决算情况说明</w:t>
      </w:r>
    </w:p>
    <w:p w14:paraId="4494CC23">
      <w:pPr>
        <w:spacing w:line="580" w:lineRule="exact"/>
        <w:ind w:firstLine="640"/>
        <w:jc w:val="both"/>
      </w:pPr>
      <w:r>
        <w:rPr>
          <w:rFonts w:ascii="仿宋_GB2312" w:hAnsi="仿宋_GB2312" w:eastAsia="仿宋_GB2312"/>
          <w:b w:val="0"/>
          <w:sz w:val="32"/>
        </w:rPr>
        <w:t>2024年度一般公共预算财政拨款基本支出7,951.89万元，其中：</w:t>
      </w:r>
      <w:r>
        <w:rPr>
          <w:rFonts w:ascii="仿宋_GB2312" w:hAnsi="仿宋_GB2312" w:eastAsia="仿宋_GB2312"/>
          <w:b/>
          <w:sz w:val="32"/>
        </w:rPr>
        <w:t>人员经费7,688.57万元，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基本养老保险缴费、职业年金缴费、职工基本医疗保险缴费、其他社会保障缴费、住房公积金、退休费、抚恤金、生活补助、助学金。</w:t>
      </w:r>
    </w:p>
    <w:p w14:paraId="486AD20D">
      <w:pPr>
        <w:spacing w:line="580" w:lineRule="exact"/>
        <w:ind w:firstLine="640"/>
        <w:jc w:val="both"/>
      </w:pPr>
      <w:r>
        <w:rPr>
          <w:rFonts w:ascii="仿宋_GB2312" w:hAnsi="仿宋_GB2312" w:eastAsia="仿宋_GB2312"/>
          <w:b/>
          <w:sz w:val="32"/>
        </w:rPr>
        <w:t>公用经费263.33万元，</w:t>
      </w:r>
      <w:r>
        <w:rPr>
          <w:rFonts w:ascii="仿宋_GB2312" w:hAnsi="仿宋_GB2312" w:eastAsia="仿宋_GB2312"/>
          <w:b w:val="0"/>
          <w:sz w:val="32"/>
        </w:rPr>
        <w:t>包括：办公费、印刷费、水费、电费、邮电费、取暖费、物业管理费、维修（护）费、培训费、专用燃料费、工会经费、其他商品和服务支出。</w:t>
      </w:r>
    </w:p>
    <w:p w14:paraId="499F9EFF">
      <w:pPr>
        <w:spacing w:line="640" w:lineRule="exact"/>
        <w:ind w:firstLine="640"/>
        <w:jc w:val="both"/>
        <w:outlineLvl w:val="2"/>
      </w:pPr>
      <w:r>
        <w:rPr>
          <w:rFonts w:ascii="黑体" w:hAnsi="黑体" w:eastAsia="黑体"/>
          <w:sz w:val="32"/>
        </w:rPr>
        <w:t>七、政府性基金预算财政拨款收入支出决算情况说明</w:t>
      </w:r>
    </w:p>
    <w:p w14:paraId="6A3D4EBC">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本年度无政府性基金预算财政拨款收入、支出及结转和结余，政府性基金预算财政拨款收入支出决算表为空表。</w:t>
      </w:r>
    </w:p>
    <w:p w14:paraId="72331907">
      <w:pPr>
        <w:spacing w:line="640" w:lineRule="exact"/>
        <w:ind w:firstLine="640"/>
        <w:jc w:val="both"/>
        <w:outlineLvl w:val="2"/>
      </w:pPr>
      <w:r>
        <w:rPr>
          <w:rFonts w:ascii="黑体" w:hAnsi="黑体" w:eastAsia="黑体"/>
          <w:sz w:val="32"/>
        </w:rPr>
        <w:t>八、国有资本经营预算财政拨款收入支出决算情况说明</w:t>
      </w:r>
    </w:p>
    <w:p w14:paraId="3333A2B0">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163C5078">
      <w:pPr>
        <w:spacing w:line="640" w:lineRule="exact"/>
        <w:ind w:firstLine="640"/>
        <w:jc w:val="both"/>
        <w:outlineLvl w:val="2"/>
      </w:pPr>
      <w:r>
        <w:rPr>
          <w:rFonts w:ascii="黑体" w:hAnsi="黑体" w:eastAsia="黑体"/>
          <w:sz w:val="32"/>
        </w:rPr>
        <w:t>九、财政拨款“三公”经费支出决算情况说明</w:t>
      </w:r>
    </w:p>
    <w:p w14:paraId="19B3F080">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3EC27F85">
      <w:pPr>
        <w:spacing w:line="580" w:lineRule="exact"/>
        <w:ind w:firstLine="640"/>
        <w:jc w:val="both"/>
      </w:pPr>
      <w:r>
        <w:rPr>
          <w:rFonts w:ascii="仿宋_GB2312" w:hAnsi="仿宋_GB2312" w:eastAsia="仿宋_GB2312"/>
          <w:b/>
          <w:sz w:val="32"/>
        </w:rPr>
        <w:t>具体情况如下：</w:t>
      </w:r>
    </w:p>
    <w:p w14:paraId="403D998B">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607E1C50">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无公务用车运行维护费。公务用车购置数0辆，公务用车保有量0辆。国有资产占用情况中固定资产</w:t>
      </w:r>
      <w:r>
        <w:rPr>
          <w:rFonts w:ascii="仿宋_GB2312" w:hAnsi="仿宋_GB2312" w:eastAsia="仿宋_GB2312"/>
          <w:b w:val="0"/>
          <w:spacing w:val="6"/>
          <w:sz w:val="32"/>
        </w:rPr>
        <w:t>车辆0辆，与公务用车保有量差异原因是：本</w:t>
      </w:r>
      <w:r>
        <w:rPr>
          <w:rFonts w:hint="eastAsia" w:ascii="仿宋_GB2312" w:hAnsi="仿宋_GB2312" w:eastAsia="仿宋_GB2312"/>
          <w:b w:val="0"/>
          <w:spacing w:val="6"/>
          <w:sz w:val="32"/>
          <w:lang w:eastAsia="zh-CN"/>
        </w:rPr>
        <w:t>单位</w:t>
      </w:r>
      <w:r>
        <w:rPr>
          <w:rFonts w:ascii="仿宋_GB2312" w:hAnsi="仿宋_GB2312" w:eastAsia="仿宋_GB2312"/>
          <w:b w:val="0"/>
          <w:spacing w:val="6"/>
          <w:sz w:val="32"/>
        </w:rPr>
        <w:t>无固定资产车辆。</w:t>
      </w:r>
    </w:p>
    <w:p w14:paraId="6943BE64">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45813DE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无财政拨款“三公”经费支出。其中：因公出国（境）费全年预算数0.00万元，决算数0.00万元，预决算差异率0.00%，主要原因是：本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699A54C3">
      <w:pPr>
        <w:spacing w:line="640" w:lineRule="exact"/>
        <w:ind w:firstLine="640"/>
        <w:jc w:val="both"/>
        <w:outlineLvl w:val="2"/>
      </w:pPr>
      <w:r>
        <w:rPr>
          <w:rFonts w:ascii="黑体" w:hAnsi="黑体" w:eastAsia="黑体"/>
          <w:sz w:val="32"/>
        </w:rPr>
        <w:t>十、其他重要事项的情况说明</w:t>
      </w:r>
    </w:p>
    <w:p w14:paraId="58403399">
      <w:pPr>
        <w:spacing w:line="640" w:lineRule="exact"/>
        <w:ind w:firstLine="640"/>
        <w:jc w:val="both"/>
        <w:outlineLvl w:val="3"/>
      </w:pPr>
      <w:r>
        <w:rPr>
          <w:rFonts w:ascii="楷体_GB2312" w:hAnsi="楷体_GB2312" w:eastAsia="楷体_GB2312"/>
          <w:b/>
          <w:sz w:val="32"/>
        </w:rPr>
        <w:t>（一）机关运行经费及公用经费支出情况</w:t>
      </w:r>
    </w:p>
    <w:p w14:paraId="20F1D2F2">
      <w:pPr>
        <w:spacing w:line="580" w:lineRule="exact"/>
        <w:ind w:firstLine="640"/>
        <w:jc w:val="both"/>
      </w:pPr>
      <w:r>
        <w:rPr>
          <w:rFonts w:ascii="仿宋_GB2312" w:hAnsi="仿宋_GB2312" w:eastAsia="仿宋_GB2312"/>
          <w:b w:val="0"/>
          <w:sz w:val="32"/>
        </w:rPr>
        <w:t>2024年度特克斯县齐勒乌泽克镇寄宿制初级中学（事业</w:t>
      </w:r>
      <w:r>
        <w:rPr>
          <w:rFonts w:hint="eastAsia" w:ascii="仿宋_GB2312" w:hAnsi="仿宋_GB2312" w:eastAsia="仿宋_GB2312"/>
          <w:b w:val="0"/>
          <w:sz w:val="32"/>
          <w:lang w:eastAsia="zh-CN"/>
        </w:rPr>
        <w:t>单位</w:t>
      </w:r>
      <w:r>
        <w:rPr>
          <w:rFonts w:ascii="仿宋_GB2312" w:hAnsi="仿宋_GB2312" w:eastAsia="仿宋_GB2312"/>
          <w:b w:val="0"/>
          <w:sz w:val="32"/>
        </w:rPr>
        <w:t>）公用经费支出263.33万元，比上年减少203.29万元，下降43.57%，主要原因是：本年厉行节约，较上年减少电费、物业管理费、差旅费、维修（护）费、培训费等经费。</w:t>
      </w:r>
    </w:p>
    <w:p w14:paraId="1254D336">
      <w:pPr>
        <w:spacing w:line="640" w:lineRule="exact"/>
        <w:ind w:firstLine="640"/>
        <w:jc w:val="both"/>
        <w:outlineLvl w:val="3"/>
      </w:pPr>
      <w:r>
        <w:rPr>
          <w:rFonts w:ascii="楷体_GB2312" w:hAnsi="楷体_GB2312" w:eastAsia="楷体_GB2312"/>
          <w:b/>
          <w:sz w:val="32"/>
        </w:rPr>
        <w:t>（二）政府采购情况</w:t>
      </w:r>
    </w:p>
    <w:p w14:paraId="1BAFE610">
      <w:pPr>
        <w:spacing w:line="580" w:lineRule="exact"/>
        <w:ind w:firstLine="640"/>
        <w:jc w:val="both"/>
      </w:pPr>
      <w:r>
        <w:rPr>
          <w:rFonts w:ascii="仿宋_GB2312" w:hAnsi="仿宋_GB2312" w:eastAsia="仿宋_GB2312"/>
          <w:b w:val="0"/>
          <w:sz w:val="32"/>
        </w:rPr>
        <w:t>2024年度政府采购支出总额27.85万元，其中：政府采购货物支出15.35万元、政府采购工程支出12.50万元、政府采购服务支出0.00万元。</w:t>
      </w:r>
    </w:p>
    <w:p w14:paraId="52ADE1BC">
      <w:pPr>
        <w:spacing w:line="580" w:lineRule="exact"/>
        <w:ind w:firstLine="640"/>
        <w:jc w:val="both"/>
      </w:pPr>
      <w:r>
        <w:rPr>
          <w:rFonts w:ascii="仿宋_GB2312" w:hAnsi="仿宋_GB2312" w:eastAsia="仿宋_GB2312"/>
          <w:b w:val="0"/>
          <w:sz w:val="32"/>
        </w:rPr>
        <w:t>授予中小企业合同金额27.85万元，占政府采购支出总额的100.00%，其中：授予小微企业合同金额15.35万元，占政府采购支出总额的55.12%。</w:t>
      </w:r>
    </w:p>
    <w:p w14:paraId="237B4934">
      <w:pPr>
        <w:spacing w:line="640" w:lineRule="exact"/>
        <w:ind w:firstLine="640"/>
        <w:jc w:val="both"/>
        <w:outlineLvl w:val="3"/>
      </w:pPr>
      <w:r>
        <w:rPr>
          <w:rFonts w:ascii="楷体_GB2312" w:hAnsi="楷体_GB2312" w:eastAsia="楷体_GB2312"/>
          <w:b/>
          <w:sz w:val="32"/>
        </w:rPr>
        <w:t>（三）国有资产占用情况说明</w:t>
      </w:r>
    </w:p>
    <w:p w14:paraId="07713F25">
      <w:pPr>
        <w:spacing w:line="580" w:lineRule="exact"/>
        <w:ind w:firstLine="640"/>
        <w:jc w:val="both"/>
      </w:pPr>
      <w:r>
        <w:rPr>
          <w:rFonts w:ascii="仿宋_GB2312" w:hAnsi="仿宋_GB2312" w:eastAsia="仿宋_GB2312"/>
          <w:b w:val="0"/>
          <w:sz w:val="32"/>
        </w:rPr>
        <w:t>截至2024年12月31日，房屋29,125.14平方米，价值2,234.12万元。车辆0辆，价值0.00万元，其中：副部（省）级及以上领导用车0辆、主要负责人用车0辆、机要通信用车0辆、应急保障用车0辆、执法执勤用车0辆、特种专业技术用车0辆、离退休干部服务用车0辆、其他用车0辆，其他用车主要是：本</w:t>
      </w:r>
      <w:r>
        <w:rPr>
          <w:rFonts w:hint="eastAsia" w:ascii="仿宋_GB2312" w:hAnsi="仿宋_GB2312" w:eastAsia="仿宋_GB2312"/>
          <w:b w:val="0"/>
          <w:sz w:val="32"/>
          <w:lang w:eastAsia="zh-CN"/>
        </w:rPr>
        <w:t>单位</w:t>
      </w:r>
      <w:r>
        <w:rPr>
          <w:rFonts w:ascii="仿宋_GB2312" w:hAnsi="仿宋_GB2312" w:eastAsia="仿宋_GB2312"/>
          <w:b w:val="0"/>
          <w:sz w:val="32"/>
        </w:rPr>
        <w:t>无其他用车。单价100万元（含）以上设备（不含车辆）0台（套）。</w:t>
      </w:r>
    </w:p>
    <w:p w14:paraId="056F87DE">
      <w:pPr>
        <w:spacing w:line="640" w:lineRule="exact"/>
        <w:ind w:firstLine="640"/>
        <w:jc w:val="both"/>
        <w:outlineLvl w:val="2"/>
      </w:pPr>
      <w:r>
        <w:rPr>
          <w:rFonts w:ascii="黑体" w:hAnsi="黑体" w:eastAsia="黑体"/>
          <w:sz w:val="32"/>
        </w:rPr>
        <w:t>十一、预算绩效的情况说明</w:t>
      </w:r>
    </w:p>
    <w:p w14:paraId="79BF8776">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2024年度预算绩效管理形成整体支出绩效自评表1个，全年预算总额8,050.79万元，实际执行总额8,050.79万元；预算绩效评价项目0个，全年预算数0.00万元，全年执行数0.00万元。预算绩效管理取得的成效：本</w:t>
      </w:r>
      <w:r>
        <w:rPr>
          <w:rFonts w:hint="eastAsia" w:ascii="仿宋_GB2312" w:hAnsi="仿宋_GB2312" w:eastAsia="仿宋_GB2312"/>
          <w:b w:val="0"/>
          <w:sz w:val="32"/>
          <w:lang w:eastAsia="zh-CN"/>
        </w:rPr>
        <w:t>单位</w:t>
      </w:r>
      <w:r>
        <w:rPr>
          <w:rFonts w:ascii="仿宋_GB2312" w:hAnsi="仿宋_GB2312" w:eastAsia="仿宋_GB2312"/>
          <w:b w:val="0"/>
          <w:sz w:val="32"/>
        </w:rPr>
        <w:t>无绩效自评项目。发现的问题及原因：本</w:t>
      </w:r>
      <w:r>
        <w:rPr>
          <w:rFonts w:hint="eastAsia" w:ascii="仿宋_GB2312" w:hAnsi="仿宋_GB2312" w:eastAsia="仿宋_GB2312"/>
          <w:b w:val="0"/>
          <w:sz w:val="32"/>
          <w:lang w:eastAsia="zh-CN"/>
        </w:rPr>
        <w:t>单位</w:t>
      </w:r>
      <w:r>
        <w:rPr>
          <w:rFonts w:ascii="仿宋_GB2312" w:hAnsi="仿宋_GB2312" w:eastAsia="仿宋_GB2312"/>
          <w:b w:val="0"/>
          <w:sz w:val="32"/>
        </w:rPr>
        <w:t>无绩效自评项目。下一步改进措施：本</w:t>
      </w:r>
      <w:r>
        <w:rPr>
          <w:rFonts w:hint="eastAsia" w:ascii="仿宋_GB2312" w:hAnsi="仿宋_GB2312" w:eastAsia="仿宋_GB2312"/>
          <w:b w:val="0"/>
          <w:sz w:val="32"/>
          <w:lang w:eastAsia="zh-CN"/>
        </w:rPr>
        <w:t>单位</w:t>
      </w:r>
      <w:r>
        <w:rPr>
          <w:rFonts w:ascii="仿宋_GB2312" w:hAnsi="仿宋_GB2312" w:eastAsia="仿宋_GB2312"/>
          <w:b w:val="0"/>
          <w:sz w:val="32"/>
        </w:rPr>
        <w:t>无绩效自评项目。具体附整体支出绩效自评表。</w:t>
      </w:r>
    </w:p>
    <w:p w14:paraId="6906389F">
      <w:r>
        <w:br w:type="page"/>
      </w:r>
    </w:p>
    <w:tbl>
      <w:tblPr>
        <w:tblStyle w:val="9"/>
        <w:tblW w:w="0" w:type="auto"/>
        <w:tblInd w:w="0" w:type="dxa"/>
        <w:tblLayout w:type="autofit"/>
        <w:tblCellMar>
          <w:top w:w="0" w:type="dxa"/>
          <w:left w:w="108" w:type="dxa"/>
          <w:bottom w:w="0" w:type="dxa"/>
          <w:right w:w="108" w:type="dxa"/>
        </w:tblCellMar>
      </w:tblPr>
      <w:tblGrid>
        <w:gridCol w:w="1105"/>
        <w:gridCol w:w="743"/>
        <w:gridCol w:w="1467"/>
        <w:gridCol w:w="1105"/>
        <w:gridCol w:w="1105"/>
        <w:gridCol w:w="1105"/>
        <w:gridCol w:w="1105"/>
        <w:gridCol w:w="1105"/>
      </w:tblGrid>
      <w:tr w14:paraId="20B08BF2">
        <w:tblPrEx>
          <w:tblCellMar>
            <w:top w:w="0" w:type="dxa"/>
            <w:left w:w="108" w:type="dxa"/>
            <w:bottom w:w="0" w:type="dxa"/>
            <w:right w:w="108" w:type="dxa"/>
          </w:tblCellMar>
        </w:tblPrEx>
        <w:tc>
          <w:tcPr>
            <w:tcW w:w="8840" w:type="dxa"/>
            <w:gridSpan w:val="8"/>
            <w:vAlign w:val="center"/>
          </w:tcPr>
          <w:p w14:paraId="70920AA0">
            <w:pPr>
              <w:jc w:val="center"/>
            </w:pPr>
            <w:r>
              <w:rPr>
                <w:rFonts w:hint="eastAsia" w:ascii="宋体" w:hAnsi="宋体"/>
                <w:sz w:val="24"/>
                <w:lang w:eastAsia="zh-CN"/>
              </w:rPr>
              <w:t>单位</w:t>
            </w:r>
            <w:r>
              <w:rPr>
                <w:rFonts w:ascii="宋体" w:hAnsi="宋体" w:eastAsia="宋体"/>
                <w:sz w:val="24"/>
              </w:rPr>
              <w:t>整体支出绩效自评表</w:t>
            </w:r>
          </w:p>
        </w:tc>
      </w:tr>
      <w:tr w14:paraId="6B887465">
        <w:tblPrEx>
          <w:tblCellMar>
            <w:top w:w="0" w:type="dxa"/>
            <w:left w:w="108" w:type="dxa"/>
            <w:bottom w:w="0" w:type="dxa"/>
            <w:right w:w="108" w:type="dxa"/>
          </w:tblCellMar>
        </w:tblPrEx>
        <w:tc>
          <w:tcPr>
            <w:tcW w:w="8840" w:type="dxa"/>
            <w:gridSpan w:val="8"/>
            <w:vAlign w:val="center"/>
          </w:tcPr>
          <w:p w14:paraId="797BBF6E">
            <w:pPr>
              <w:jc w:val="center"/>
            </w:pPr>
            <w:r>
              <w:rPr>
                <w:rFonts w:ascii="宋体" w:hAnsi="宋体" w:eastAsia="宋体"/>
                <w:sz w:val="24"/>
              </w:rPr>
              <w:t>（2024年度）</w:t>
            </w:r>
          </w:p>
        </w:tc>
      </w:tr>
      <w:tr w14:paraId="2BDCFE5A">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E54FD0">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8EE15F">
            <w:pPr>
              <w:jc w:val="center"/>
            </w:pPr>
            <w:r>
              <w:rPr>
                <w:rFonts w:ascii="宋体" w:hAnsi="宋体" w:eastAsia="宋体"/>
                <w:sz w:val="16"/>
              </w:rPr>
              <w:t>特克斯县齐勒乌泽克镇寄宿制初级中学</w:t>
            </w:r>
          </w:p>
        </w:tc>
      </w:tr>
      <w:tr w14:paraId="326195BC">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216053">
            <w:pPr>
              <w:jc w:val="center"/>
            </w:pPr>
            <w:r>
              <w:rPr>
                <w:rFonts w:ascii="宋体" w:hAnsi="宋体" w:eastAsia="宋体"/>
                <w:sz w:val="16"/>
              </w:rPr>
              <w:t>部门资金（万元）</w:t>
            </w:r>
          </w:p>
        </w:tc>
        <w:tc>
          <w:tcPr>
            <w:tcW w:w="743" w:type="dxa"/>
            <w:tcBorders>
              <w:top w:val="single" w:color="auto" w:sz="10" w:space="0"/>
              <w:left w:val="single" w:color="auto" w:sz="10" w:space="0"/>
              <w:bottom w:val="single" w:color="auto" w:sz="10" w:space="0"/>
              <w:right w:val="single" w:color="auto" w:sz="10" w:space="0"/>
              <w:insideV w:val="single" w:sz="10" w:space="0"/>
            </w:tcBorders>
            <w:vAlign w:val="center"/>
          </w:tcPr>
          <w:p w14:paraId="4C9E5B68">
            <w:pPr>
              <w:jc w:val="center"/>
            </w:pPr>
            <w:r>
              <w:rPr>
                <w:rFonts w:ascii="宋体" w:hAnsi="宋体" w:eastAsia="宋体"/>
                <w:sz w:val="16"/>
              </w:rPr>
              <w:t>资金来源</w:t>
            </w:r>
          </w:p>
        </w:tc>
        <w:tc>
          <w:tcPr>
            <w:tcW w:w="1467" w:type="dxa"/>
            <w:tcBorders>
              <w:top w:val="single" w:color="auto" w:sz="10" w:space="0"/>
              <w:left w:val="single" w:color="auto" w:sz="10" w:space="0"/>
              <w:bottom w:val="single" w:color="auto" w:sz="10" w:space="0"/>
              <w:right w:val="single" w:color="auto" w:sz="10" w:space="0"/>
              <w:insideV w:val="single" w:sz="10" w:space="0"/>
            </w:tcBorders>
            <w:vAlign w:val="center"/>
          </w:tcPr>
          <w:p w14:paraId="55F9ABA6">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273573">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DE322F">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AD1242">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2EE67E">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ADE2CF">
            <w:pPr>
              <w:jc w:val="center"/>
            </w:pPr>
            <w:r>
              <w:rPr>
                <w:rFonts w:ascii="宋体" w:hAnsi="宋体" w:eastAsia="宋体"/>
                <w:sz w:val="16"/>
              </w:rPr>
              <w:t>得分</w:t>
            </w:r>
          </w:p>
        </w:tc>
      </w:tr>
      <w:tr w14:paraId="1FAC6DD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5ECBEEE"/>
        </w:tc>
        <w:tc>
          <w:tcPr>
            <w:tcW w:w="743" w:type="dxa"/>
            <w:tcBorders>
              <w:top w:val="single" w:color="auto" w:sz="10" w:space="0"/>
              <w:left w:val="single" w:color="auto" w:sz="10" w:space="0"/>
              <w:bottom w:val="single" w:color="auto" w:sz="10" w:space="0"/>
              <w:right w:val="single" w:color="auto" w:sz="10" w:space="0"/>
              <w:insideV w:val="single" w:sz="10" w:space="0"/>
            </w:tcBorders>
            <w:vAlign w:val="center"/>
          </w:tcPr>
          <w:p w14:paraId="186EC8EB">
            <w:pPr>
              <w:jc w:val="center"/>
            </w:pPr>
            <w:r>
              <w:rPr>
                <w:rFonts w:ascii="宋体" w:hAnsi="宋体" w:eastAsia="宋体"/>
                <w:sz w:val="16"/>
              </w:rPr>
              <w:t>年度总资金</w:t>
            </w:r>
          </w:p>
        </w:tc>
        <w:tc>
          <w:tcPr>
            <w:tcW w:w="1467" w:type="dxa"/>
            <w:tcBorders>
              <w:top w:val="single" w:color="auto" w:sz="10" w:space="0"/>
              <w:left w:val="single" w:color="auto" w:sz="10" w:space="0"/>
              <w:bottom w:val="single" w:color="auto" w:sz="10" w:space="0"/>
              <w:right w:val="single" w:color="auto" w:sz="10" w:space="0"/>
              <w:insideV w:val="single" w:sz="10" w:space="0"/>
            </w:tcBorders>
            <w:vAlign w:val="center"/>
          </w:tcPr>
          <w:p w14:paraId="51E62F13">
            <w:pPr>
              <w:jc w:val="center"/>
            </w:pPr>
            <w:r>
              <w:rPr>
                <w:rFonts w:ascii="宋体" w:hAnsi="宋体" w:eastAsia="宋体"/>
                <w:sz w:val="16"/>
              </w:rPr>
              <w:t>7,352.59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2AED00">
            <w:pPr>
              <w:jc w:val="center"/>
            </w:pPr>
            <w:r>
              <w:rPr>
                <w:rFonts w:ascii="宋体" w:hAnsi="宋体" w:eastAsia="宋体"/>
                <w:sz w:val="16"/>
              </w:rPr>
              <w:t>8,050.79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E97985">
            <w:pPr>
              <w:jc w:val="center"/>
            </w:pPr>
            <w:r>
              <w:rPr>
                <w:rFonts w:ascii="宋体" w:hAnsi="宋体" w:eastAsia="宋体"/>
                <w:sz w:val="16"/>
              </w:rPr>
              <w:t>8,050.79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DDADDE">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6F7D06">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DC9DB6">
            <w:pPr>
              <w:jc w:val="center"/>
            </w:pPr>
            <w:r>
              <w:rPr>
                <w:rFonts w:ascii="宋体" w:hAnsi="宋体" w:eastAsia="宋体"/>
                <w:sz w:val="16"/>
              </w:rPr>
              <w:t>10</w:t>
            </w:r>
          </w:p>
        </w:tc>
      </w:tr>
      <w:tr w14:paraId="7D11937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D344708"/>
        </w:tc>
        <w:tc>
          <w:tcPr>
            <w:tcW w:w="743" w:type="dxa"/>
            <w:tcBorders>
              <w:top w:val="single" w:color="auto" w:sz="10" w:space="0"/>
              <w:left w:val="single" w:color="auto" w:sz="10" w:space="0"/>
              <w:bottom w:val="single" w:color="auto" w:sz="10" w:space="0"/>
              <w:right w:val="single" w:color="auto" w:sz="10" w:space="0"/>
              <w:insideV w:val="single" w:sz="10" w:space="0"/>
            </w:tcBorders>
            <w:vAlign w:val="center"/>
          </w:tcPr>
          <w:p w14:paraId="3D8063AE">
            <w:pPr>
              <w:jc w:val="center"/>
            </w:pPr>
            <w:r>
              <w:rPr>
                <w:rFonts w:ascii="宋体" w:hAnsi="宋体" w:eastAsia="宋体"/>
                <w:sz w:val="16"/>
              </w:rPr>
              <w:t>上级资金：</w:t>
            </w:r>
          </w:p>
        </w:tc>
        <w:tc>
          <w:tcPr>
            <w:tcW w:w="1467" w:type="dxa"/>
            <w:tcBorders>
              <w:top w:val="single" w:color="auto" w:sz="10" w:space="0"/>
              <w:left w:val="single" w:color="auto" w:sz="10" w:space="0"/>
              <w:bottom w:val="single" w:color="auto" w:sz="10" w:space="0"/>
              <w:right w:val="single" w:color="auto" w:sz="10" w:space="0"/>
              <w:insideV w:val="single" w:sz="10" w:space="0"/>
            </w:tcBorders>
            <w:vAlign w:val="center"/>
          </w:tcPr>
          <w:p w14:paraId="74A05B7F">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99D83A">
            <w:pPr>
              <w:jc w:val="center"/>
            </w:pPr>
            <w:r>
              <w:rPr>
                <w:rFonts w:ascii="宋体" w:hAnsi="宋体" w:eastAsia="宋体"/>
                <w:sz w:val="16"/>
              </w:rPr>
              <w:t>388.31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38E670">
            <w:pPr>
              <w:jc w:val="center"/>
            </w:pPr>
            <w:r>
              <w:rPr>
                <w:rFonts w:ascii="宋体" w:hAnsi="宋体" w:eastAsia="宋体"/>
                <w:sz w:val="16"/>
              </w:rPr>
              <w:t>388.31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3E697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5304F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55C266">
            <w:pPr>
              <w:jc w:val="center"/>
            </w:pPr>
            <w:r>
              <w:rPr>
                <w:rFonts w:ascii="宋体" w:hAnsi="宋体" w:eastAsia="宋体"/>
                <w:sz w:val="16"/>
              </w:rPr>
              <w:t>-</w:t>
            </w:r>
          </w:p>
        </w:tc>
      </w:tr>
      <w:tr w14:paraId="08B9036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05017BC"/>
        </w:tc>
        <w:tc>
          <w:tcPr>
            <w:tcW w:w="743" w:type="dxa"/>
            <w:tcBorders>
              <w:top w:val="single" w:color="auto" w:sz="10" w:space="0"/>
              <w:left w:val="single" w:color="auto" w:sz="10" w:space="0"/>
              <w:bottom w:val="single" w:color="auto" w:sz="10" w:space="0"/>
              <w:right w:val="single" w:color="auto" w:sz="10" w:space="0"/>
              <w:insideV w:val="single" w:sz="10" w:space="0"/>
            </w:tcBorders>
            <w:vAlign w:val="center"/>
          </w:tcPr>
          <w:p w14:paraId="27274DAD">
            <w:pPr>
              <w:jc w:val="center"/>
            </w:pPr>
            <w:r>
              <w:rPr>
                <w:rFonts w:ascii="宋体" w:hAnsi="宋体" w:eastAsia="宋体"/>
                <w:sz w:val="16"/>
              </w:rPr>
              <w:t>本级资金：</w:t>
            </w:r>
          </w:p>
        </w:tc>
        <w:tc>
          <w:tcPr>
            <w:tcW w:w="1467" w:type="dxa"/>
            <w:tcBorders>
              <w:top w:val="single" w:color="auto" w:sz="10" w:space="0"/>
              <w:left w:val="single" w:color="auto" w:sz="10" w:space="0"/>
              <w:bottom w:val="single" w:color="auto" w:sz="10" w:space="0"/>
              <w:right w:val="single" w:color="auto" w:sz="10" w:space="0"/>
              <w:insideV w:val="single" w:sz="10" w:space="0"/>
            </w:tcBorders>
            <w:vAlign w:val="center"/>
          </w:tcPr>
          <w:p w14:paraId="7400DC07">
            <w:pPr>
              <w:jc w:val="center"/>
            </w:pPr>
            <w:r>
              <w:rPr>
                <w:rFonts w:ascii="宋体" w:hAnsi="宋体" w:eastAsia="宋体"/>
                <w:sz w:val="16"/>
              </w:rPr>
              <w:t>7,352.59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273A37">
            <w:pPr>
              <w:jc w:val="center"/>
            </w:pPr>
            <w:r>
              <w:rPr>
                <w:rFonts w:ascii="宋体" w:hAnsi="宋体" w:eastAsia="宋体"/>
                <w:sz w:val="16"/>
              </w:rPr>
              <w:t>7,563.57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771975">
            <w:pPr>
              <w:jc w:val="center"/>
            </w:pPr>
            <w:r>
              <w:rPr>
                <w:rFonts w:ascii="宋体" w:hAnsi="宋体" w:eastAsia="宋体"/>
                <w:sz w:val="16"/>
              </w:rPr>
              <w:t>7,563.57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5BE96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DDD62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D96CCE">
            <w:pPr>
              <w:jc w:val="center"/>
            </w:pPr>
            <w:r>
              <w:rPr>
                <w:rFonts w:ascii="宋体" w:hAnsi="宋体" w:eastAsia="宋体"/>
                <w:sz w:val="16"/>
              </w:rPr>
              <w:t>-</w:t>
            </w:r>
          </w:p>
        </w:tc>
      </w:tr>
      <w:tr w14:paraId="737C1A6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F113B21"/>
        </w:tc>
        <w:tc>
          <w:tcPr>
            <w:tcW w:w="743" w:type="dxa"/>
            <w:tcBorders>
              <w:top w:val="single" w:color="auto" w:sz="10" w:space="0"/>
              <w:left w:val="single" w:color="auto" w:sz="10" w:space="0"/>
              <w:bottom w:val="single" w:color="auto" w:sz="10" w:space="0"/>
              <w:right w:val="single" w:color="auto" w:sz="10" w:space="0"/>
              <w:insideV w:val="single" w:sz="10" w:space="0"/>
            </w:tcBorders>
            <w:vAlign w:val="center"/>
          </w:tcPr>
          <w:p w14:paraId="16CC7599">
            <w:pPr>
              <w:jc w:val="center"/>
            </w:pPr>
            <w:r>
              <w:rPr>
                <w:rFonts w:ascii="宋体" w:hAnsi="宋体" w:eastAsia="宋体"/>
                <w:sz w:val="16"/>
              </w:rPr>
              <w:t>其他资金：</w:t>
            </w:r>
          </w:p>
        </w:tc>
        <w:tc>
          <w:tcPr>
            <w:tcW w:w="1467" w:type="dxa"/>
            <w:tcBorders>
              <w:top w:val="single" w:color="auto" w:sz="10" w:space="0"/>
              <w:left w:val="single" w:color="auto" w:sz="10" w:space="0"/>
              <w:bottom w:val="single" w:color="auto" w:sz="10" w:space="0"/>
              <w:right w:val="single" w:color="auto" w:sz="10" w:space="0"/>
              <w:insideV w:val="single" w:sz="10" w:space="0"/>
            </w:tcBorders>
            <w:vAlign w:val="center"/>
          </w:tcPr>
          <w:p w14:paraId="46DDC3B8">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2D17B2">
            <w:pPr>
              <w:jc w:val="center"/>
            </w:pPr>
            <w:r>
              <w:rPr>
                <w:rFonts w:ascii="宋体" w:hAnsi="宋体" w:eastAsia="宋体"/>
                <w:sz w:val="16"/>
              </w:rPr>
              <w:t>98.91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6471EE">
            <w:pPr>
              <w:jc w:val="center"/>
            </w:pPr>
            <w:r>
              <w:rPr>
                <w:rFonts w:ascii="宋体" w:hAnsi="宋体" w:eastAsia="宋体"/>
                <w:sz w:val="16"/>
              </w:rPr>
              <w:t>98.91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DC513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B453A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D8A990">
            <w:pPr>
              <w:jc w:val="center"/>
            </w:pPr>
            <w:r>
              <w:rPr>
                <w:rFonts w:ascii="宋体" w:hAnsi="宋体" w:eastAsia="宋体"/>
                <w:sz w:val="16"/>
              </w:rPr>
              <w:t>-</w:t>
            </w:r>
          </w:p>
        </w:tc>
      </w:tr>
      <w:tr w14:paraId="4D34789F">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31E580">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88FC2B5">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D566381">
            <w:pPr>
              <w:jc w:val="center"/>
            </w:pPr>
            <w:r>
              <w:rPr>
                <w:rFonts w:ascii="宋体" w:hAnsi="宋体" w:eastAsia="宋体"/>
                <w:sz w:val="16"/>
              </w:rPr>
              <w:t>实际完成情况</w:t>
            </w:r>
          </w:p>
        </w:tc>
      </w:tr>
      <w:tr w14:paraId="19744EF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BB69A62"/>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53DBE4F">
            <w:pPr>
              <w:jc w:val="both"/>
            </w:pPr>
            <w:r>
              <w:rPr>
                <w:rFonts w:ascii="宋体" w:hAnsi="宋体" w:eastAsia="宋体"/>
                <w:sz w:val="16"/>
              </w:rPr>
              <w:t>贯彻落实党中央教育方针，一是宣传贯彻党的路线、方针、政策，坚持正确的办学方向，有效保障学校教育教学的可持续发展。二是宣传党的教育理论，指导干部学习党的理论，培养合格的教师队伍，有效提高教师的国家通用语言文字教育教学水平。三是按照上级部门工作要求，认真开展学校绩效量化考核工作，有效提升教师的工作积极性。四是完善德育机制，形成工作合力，有效开展学校的德育教学。五是加强学校民族团结教育，有效培养师生民族团结意识。六是创建义务教育优质均衡，有效促进优质均衡发展。</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A1A4ED9">
            <w:pPr>
              <w:jc w:val="both"/>
            </w:pPr>
            <w:r>
              <w:rPr>
                <w:rFonts w:ascii="宋体" w:hAnsi="宋体" w:eastAsia="宋体"/>
                <w:sz w:val="16"/>
              </w:rPr>
              <w:t>始终坚持党对教育工作的全面领导，</w:t>
            </w:r>
            <w:r>
              <w:rPr>
                <w:rFonts w:hint="eastAsia" w:ascii="宋体" w:hAnsi="宋体"/>
                <w:sz w:val="16"/>
                <w:lang w:val="en-US" w:eastAsia="zh-CN"/>
              </w:rPr>
              <w:t>增强</w:t>
            </w:r>
            <w:r>
              <w:rPr>
                <w:rFonts w:hint="eastAsia" w:ascii="宋体" w:hAnsi="宋体"/>
                <w:sz w:val="16"/>
                <w:lang w:eastAsia="zh-CN"/>
              </w:rPr>
              <w:t>“四个意识”</w:t>
            </w:r>
            <w:r>
              <w:rPr>
                <w:rFonts w:ascii="宋体" w:hAnsi="宋体" w:eastAsia="宋体"/>
                <w:sz w:val="16"/>
              </w:rPr>
              <w:t>，</w:t>
            </w:r>
            <w:r>
              <w:rPr>
                <w:rFonts w:hint="eastAsia" w:ascii="宋体" w:hAnsi="宋体"/>
                <w:sz w:val="16"/>
                <w:lang w:eastAsia="zh-CN"/>
              </w:rPr>
              <w:t>坚定“四个自信”、</w:t>
            </w:r>
            <w:r>
              <w:rPr>
                <w:rFonts w:ascii="宋体" w:hAnsi="宋体" w:eastAsia="宋体"/>
                <w:sz w:val="16"/>
              </w:rPr>
              <w:t>做到“两个维护”。一是继续抓好“三支”队伍建设，强化德育意识。二是继续抓好“三支”队伍建设，强化德育意识。三是加强学生养成教育，落实常规工作。四是全面推广国家通用语言文字授课实施办法，全力推进国语教育，配合学校营造出浓厚的国语教学和学习氛围。五是按照上级部门工作要求，认真开展学校绩效量化考核工作，有效提升教师的工作积极性。</w:t>
            </w:r>
          </w:p>
        </w:tc>
      </w:tr>
      <w:tr w14:paraId="0346D54C">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767EC7">
            <w:pPr>
              <w:jc w:val="center"/>
            </w:pPr>
            <w:r>
              <w:rPr>
                <w:rFonts w:ascii="宋体" w:hAnsi="宋体" w:eastAsia="宋体"/>
                <w:sz w:val="16"/>
              </w:rPr>
              <w:t>一级指标</w:t>
            </w:r>
          </w:p>
        </w:tc>
        <w:tc>
          <w:tcPr>
            <w:tcW w:w="743" w:type="dxa"/>
            <w:tcBorders>
              <w:top w:val="single" w:color="auto" w:sz="10" w:space="0"/>
              <w:left w:val="single" w:color="auto" w:sz="10" w:space="0"/>
              <w:bottom w:val="single" w:color="auto" w:sz="10" w:space="0"/>
              <w:right w:val="single" w:color="auto" w:sz="10" w:space="0"/>
              <w:insideV w:val="single" w:sz="10" w:space="0"/>
            </w:tcBorders>
            <w:vAlign w:val="center"/>
          </w:tcPr>
          <w:p w14:paraId="1D81FD0F">
            <w:pPr>
              <w:jc w:val="center"/>
            </w:pPr>
            <w:r>
              <w:rPr>
                <w:rFonts w:ascii="宋体" w:hAnsi="宋体" w:eastAsia="宋体"/>
                <w:sz w:val="16"/>
              </w:rPr>
              <w:t>二级指标</w:t>
            </w:r>
          </w:p>
        </w:tc>
        <w:tc>
          <w:tcPr>
            <w:tcW w:w="1467" w:type="dxa"/>
            <w:tcBorders>
              <w:top w:val="single" w:color="auto" w:sz="10" w:space="0"/>
              <w:left w:val="single" w:color="auto" w:sz="10" w:space="0"/>
              <w:bottom w:val="single" w:color="auto" w:sz="10" w:space="0"/>
              <w:right w:val="single" w:color="auto" w:sz="10" w:space="0"/>
              <w:insideV w:val="single" w:sz="10" w:space="0"/>
            </w:tcBorders>
            <w:vAlign w:val="center"/>
          </w:tcPr>
          <w:p w14:paraId="0D0810FE">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8ED1FB">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9BEB31">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065428">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0E23AA">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ED8667">
            <w:pPr>
              <w:jc w:val="center"/>
            </w:pPr>
            <w:r>
              <w:rPr>
                <w:rFonts w:ascii="宋体" w:hAnsi="宋体" w:eastAsia="宋体"/>
                <w:sz w:val="16"/>
              </w:rPr>
              <w:t>得分</w:t>
            </w:r>
          </w:p>
        </w:tc>
      </w:tr>
      <w:tr w14:paraId="2D42E66F">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9267AA">
            <w:pPr>
              <w:jc w:val="center"/>
            </w:pPr>
            <w:r>
              <w:rPr>
                <w:rFonts w:ascii="宋体" w:hAnsi="宋体" w:eastAsia="宋体"/>
                <w:sz w:val="16"/>
              </w:rPr>
              <w:t>履职效能</w:t>
            </w:r>
          </w:p>
        </w:tc>
        <w:tc>
          <w:tcPr>
            <w:tcW w:w="74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7D8D09">
            <w:pPr>
              <w:jc w:val="center"/>
            </w:pPr>
            <w:r>
              <w:rPr>
                <w:rFonts w:ascii="宋体" w:hAnsi="宋体" w:eastAsia="宋体"/>
                <w:sz w:val="16"/>
              </w:rPr>
              <w:t>数量指标</w:t>
            </w:r>
          </w:p>
        </w:tc>
        <w:tc>
          <w:tcPr>
            <w:tcW w:w="1467" w:type="dxa"/>
            <w:tcBorders>
              <w:top w:val="single" w:color="auto" w:sz="10" w:space="0"/>
              <w:left w:val="single" w:color="auto" w:sz="10" w:space="0"/>
              <w:bottom w:val="single" w:color="auto" w:sz="10" w:space="0"/>
              <w:right w:val="single" w:color="auto" w:sz="10" w:space="0"/>
              <w:insideV w:val="single" w:sz="10" w:space="0"/>
            </w:tcBorders>
            <w:vAlign w:val="center"/>
          </w:tcPr>
          <w:p w14:paraId="7B2DD048">
            <w:pPr>
              <w:jc w:val="center"/>
            </w:pPr>
            <w:r>
              <w:rPr>
                <w:rFonts w:ascii="宋体" w:hAnsi="宋体" w:eastAsia="宋体"/>
                <w:sz w:val="16"/>
              </w:rPr>
              <w:t>消除义务教育大班额</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B1340B">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5C4B4A">
            <w:pPr>
              <w:jc w:val="center"/>
            </w:pPr>
            <w:r>
              <w:rPr>
                <w:rFonts w:ascii="宋体" w:hAnsi="宋体" w:eastAsia="宋体"/>
                <w:sz w:val="16"/>
              </w:rPr>
              <w:t>伊犁哈萨克自治州</w:t>
            </w:r>
            <w:r>
              <w:rPr>
                <w:rFonts w:hint="eastAsia" w:ascii="宋体" w:hAnsi="宋体"/>
                <w:sz w:val="16"/>
                <w:lang w:eastAsia="zh-CN"/>
              </w:rPr>
              <w:t>“十四五”规划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307877">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EA25DC">
            <w:pPr>
              <w:jc w:val="center"/>
            </w:pPr>
            <w:r>
              <w:rPr>
                <w:rFonts w:ascii="宋体" w:hAnsi="宋体" w:eastAsia="宋体"/>
                <w:sz w:val="16"/>
              </w:rPr>
              <w: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DF38DC">
            <w:pPr>
              <w:jc w:val="center"/>
            </w:pPr>
            <w:r>
              <w:rPr>
                <w:rFonts w:ascii="宋体" w:hAnsi="宋体" w:eastAsia="宋体"/>
                <w:sz w:val="16"/>
              </w:rPr>
              <w:t>15</w:t>
            </w:r>
          </w:p>
        </w:tc>
      </w:tr>
      <w:tr w14:paraId="22EB37C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2CCDB8D"/>
        </w:tc>
        <w:tc>
          <w:tcPr>
            <w:tcW w:w="743" w:type="dxa"/>
            <w:vMerge w:val="continue"/>
            <w:tcBorders>
              <w:top w:val="single" w:color="auto" w:sz="10" w:space="0"/>
              <w:left w:val="single" w:color="auto" w:sz="10" w:space="0"/>
              <w:bottom w:val="single" w:color="auto" w:sz="10" w:space="0"/>
              <w:right w:val="single" w:color="auto" w:sz="10" w:space="0"/>
              <w:insideV w:val="single" w:sz="10" w:space="0"/>
            </w:tcBorders>
          </w:tcPr>
          <w:p w14:paraId="652731F8"/>
        </w:tc>
        <w:tc>
          <w:tcPr>
            <w:tcW w:w="1467" w:type="dxa"/>
            <w:tcBorders>
              <w:top w:val="single" w:color="auto" w:sz="10" w:space="0"/>
              <w:left w:val="single" w:color="auto" w:sz="10" w:space="0"/>
              <w:bottom w:val="single" w:color="auto" w:sz="10" w:space="0"/>
              <w:right w:val="single" w:color="auto" w:sz="10" w:space="0"/>
              <w:insideV w:val="single" w:sz="10" w:space="0"/>
            </w:tcBorders>
            <w:vAlign w:val="center"/>
          </w:tcPr>
          <w:p w14:paraId="7AB85D2F">
            <w:pPr>
              <w:jc w:val="center"/>
            </w:pPr>
            <w:r>
              <w:rPr>
                <w:rFonts w:ascii="宋体" w:hAnsi="宋体" w:eastAsia="宋体"/>
                <w:sz w:val="16"/>
              </w:rPr>
              <w:t>义务教育巩固率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59E7A1">
            <w:pPr>
              <w:jc w:val="center"/>
            </w:pPr>
            <w:r>
              <w:rPr>
                <w:rFonts w:ascii="宋体" w:hAnsi="宋体" w:eastAsia="宋体"/>
                <w:sz w:val="16"/>
              </w:rPr>
              <w:t>&gt;=98%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0187A2">
            <w:pPr>
              <w:jc w:val="center"/>
            </w:pPr>
            <w:r>
              <w:rPr>
                <w:rFonts w:ascii="宋体" w:hAnsi="宋体" w:eastAsia="宋体"/>
                <w:sz w:val="16"/>
              </w:rPr>
              <w:t>伊犁哈萨克自治州</w:t>
            </w:r>
            <w:r>
              <w:rPr>
                <w:rFonts w:hint="eastAsia" w:ascii="宋体" w:hAnsi="宋体"/>
                <w:sz w:val="16"/>
                <w:lang w:eastAsia="zh-CN"/>
              </w:rPr>
              <w:t>“十四五”规划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C8955A">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CB0ECE">
            <w:pPr>
              <w:jc w:val="center"/>
            </w:pPr>
            <w:r>
              <w:rPr>
                <w:rFonts w:ascii="宋体" w:hAnsi="宋体" w:eastAsia="宋体"/>
                <w:sz w:val="16"/>
              </w:rPr>
              <w:t>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7EC5BE">
            <w:pPr>
              <w:jc w:val="center"/>
            </w:pPr>
            <w:r>
              <w:rPr>
                <w:rFonts w:ascii="宋体" w:hAnsi="宋体" w:eastAsia="宋体"/>
                <w:sz w:val="16"/>
              </w:rPr>
              <w:t>15</w:t>
            </w:r>
          </w:p>
        </w:tc>
      </w:tr>
      <w:tr w14:paraId="222E56A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F7FA067"/>
        </w:tc>
        <w:tc>
          <w:tcPr>
            <w:tcW w:w="743" w:type="dxa"/>
            <w:vMerge w:val="continue"/>
            <w:tcBorders>
              <w:top w:val="single" w:color="auto" w:sz="10" w:space="0"/>
              <w:left w:val="single" w:color="auto" w:sz="10" w:space="0"/>
              <w:bottom w:val="single" w:color="auto" w:sz="10" w:space="0"/>
              <w:right w:val="single" w:color="auto" w:sz="10" w:space="0"/>
              <w:insideV w:val="single" w:sz="10" w:space="0"/>
            </w:tcBorders>
          </w:tcPr>
          <w:p w14:paraId="63CABABF"/>
        </w:tc>
        <w:tc>
          <w:tcPr>
            <w:tcW w:w="1467" w:type="dxa"/>
            <w:tcBorders>
              <w:top w:val="single" w:color="auto" w:sz="10" w:space="0"/>
              <w:left w:val="single" w:color="auto" w:sz="10" w:space="0"/>
              <w:bottom w:val="single" w:color="auto" w:sz="10" w:space="0"/>
              <w:right w:val="single" w:color="auto" w:sz="10" w:space="0"/>
              <w:insideV w:val="single" w:sz="10" w:space="0"/>
            </w:tcBorders>
            <w:vAlign w:val="center"/>
          </w:tcPr>
          <w:p w14:paraId="7CEC47A2">
            <w:pPr>
              <w:jc w:val="center"/>
            </w:pPr>
            <w:r>
              <w:rPr>
                <w:rFonts w:ascii="宋体" w:hAnsi="宋体" w:eastAsia="宋体"/>
                <w:sz w:val="16"/>
              </w:rPr>
              <w:t>实现信息化教学覆盖率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CB6191">
            <w:pPr>
              <w:jc w:val="center"/>
            </w:pPr>
            <w:r>
              <w:rPr>
                <w:rFonts w:ascii="宋体" w:hAnsi="宋体" w:eastAsia="宋体"/>
                <w:sz w:val="16"/>
              </w:rPr>
              <w:t>&gt;=85%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DDA128">
            <w:pPr>
              <w:jc w:val="center"/>
            </w:pPr>
            <w:r>
              <w:rPr>
                <w:rFonts w:ascii="宋体" w:hAnsi="宋体" w:eastAsia="宋体"/>
                <w:sz w:val="16"/>
              </w:rPr>
              <w:t>伊犁哈萨克自治州</w:t>
            </w:r>
            <w:r>
              <w:rPr>
                <w:rFonts w:hint="eastAsia" w:ascii="宋体" w:hAnsi="宋体"/>
                <w:sz w:val="16"/>
                <w:lang w:eastAsia="zh-CN"/>
              </w:rPr>
              <w:t>“十四五”规划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8949F1">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755B4B">
            <w:pPr>
              <w:jc w:val="center"/>
            </w:pPr>
            <w:r>
              <w:rPr>
                <w:rFonts w:ascii="宋体" w:hAnsi="宋体" w:eastAsia="宋体"/>
                <w:sz w:val="16"/>
              </w:rPr>
              <w:t>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E7C54C">
            <w:pPr>
              <w:jc w:val="center"/>
            </w:pPr>
            <w:r>
              <w:rPr>
                <w:rFonts w:ascii="宋体" w:hAnsi="宋体" w:eastAsia="宋体"/>
                <w:sz w:val="16"/>
              </w:rPr>
              <w:t>15</w:t>
            </w:r>
          </w:p>
        </w:tc>
      </w:tr>
      <w:tr w14:paraId="68A3AFE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B0CBF30"/>
        </w:tc>
        <w:tc>
          <w:tcPr>
            <w:tcW w:w="743" w:type="dxa"/>
            <w:vMerge w:val="continue"/>
            <w:tcBorders>
              <w:top w:val="single" w:color="auto" w:sz="10" w:space="0"/>
              <w:left w:val="single" w:color="auto" w:sz="10" w:space="0"/>
              <w:bottom w:val="single" w:color="auto" w:sz="10" w:space="0"/>
              <w:right w:val="single" w:color="auto" w:sz="10" w:space="0"/>
              <w:insideV w:val="single" w:sz="10" w:space="0"/>
            </w:tcBorders>
          </w:tcPr>
          <w:p w14:paraId="4EADA2D0"/>
        </w:tc>
        <w:tc>
          <w:tcPr>
            <w:tcW w:w="1467" w:type="dxa"/>
            <w:tcBorders>
              <w:top w:val="single" w:color="auto" w:sz="10" w:space="0"/>
              <w:left w:val="single" w:color="auto" w:sz="10" w:space="0"/>
              <w:bottom w:val="single" w:color="auto" w:sz="10" w:space="0"/>
              <w:right w:val="single" w:color="auto" w:sz="10" w:space="0"/>
              <w:insideV w:val="single" w:sz="10" w:space="0"/>
            </w:tcBorders>
            <w:vAlign w:val="center"/>
          </w:tcPr>
          <w:p w14:paraId="6974FF75">
            <w:pPr>
              <w:jc w:val="center"/>
            </w:pPr>
            <w:r>
              <w:rPr>
                <w:rFonts w:ascii="宋体" w:hAnsi="宋体" w:eastAsia="宋体"/>
                <w:sz w:val="16"/>
              </w:rPr>
              <w:t>创建平安校园活动举办次数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797CCB">
            <w:pPr>
              <w:jc w:val="center"/>
            </w:pPr>
            <w:r>
              <w:rPr>
                <w:rFonts w:ascii="宋体" w:hAnsi="宋体" w:eastAsia="宋体"/>
                <w:sz w:val="16"/>
              </w:rPr>
              <w:t>&gt;=6次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B2D186">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333E15">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6DBC49">
            <w:pPr>
              <w:jc w:val="center"/>
            </w:pPr>
            <w:r>
              <w:rPr>
                <w:rFonts w:ascii="宋体" w:hAnsi="宋体" w:eastAsia="宋体"/>
                <w:sz w:val="16"/>
              </w:rPr>
              <w:t>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C13DFA">
            <w:pPr>
              <w:jc w:val="center"/>
            </w:pPr>
            <w:r>
              <w:rPr>
                <w:rFonts w:ascii="宋体" w:hAnsi="宋体" w:eastAsia="宋体"/>
                <w:sz w:val="16"/>
              </w:rPr>
              <w:t>15</w:t>
            </w:r>
          </w:p>
        </w:tc>
      </w:tr>
      <w:tr w14:paraId="645EFB9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1410B96"/>
        </w:tc>
        <w:tc>
          <w:tcPr>
            <w:tcW w:w="74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FD421F">
            <w:pPr>
              <w:jc w:val="center"/>
            </w:pPr>
            <w:r>
              <w:rPr>
                <w:rFonts w:ascii="宋体" w:hAnsi="宋体" w:eastAsia="宋体"/>
                <w:sz w:val="16"/>
              </w:rPr>
              <w:t>质量指标</w:t>
            </w:r>
          </w:p>
        </w:tc>
        <w:tc>
          <w:tcPr>
            <w:tcW w:w="1467" w:type="dxa"/>
            <w:tcBorders>
              <w:top w:val="single" w:color="auto" w:sz="10" w:space="0"/>
              <w:left w:val="single" w:color="auto" w:sz="10" w:space="0"/>
              <w:bottom w:val="single" w:color="auto" w:sz="10" w:space="0"/>
              <w:right w:val="single" w:color="auto" w:sz="10" w:space="0"/>
              <w:insideV w:val="single" w:sz="10" w:space="0"/>
            </w:tcBorders>
            <w:vAlign w:val="center"/>
          </w:tcPr>
          <w:p w14:paraId="44890CD3">
            <w:pPr>
              <w:jc w:val="center"/>
            </w:pPr>
            <w:r>
              <w:rPr>
                <w:rFonts w:ascii="宋体" w:hAnsi="宋体" w:eastAsia="宋体"/>
                <w:sz w:val="16"/>
              </w:rPr>
              <w:t>义务教育优质均衡率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073C03">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D26A31">
            <w:pPr>
              <w:jc w:val="center"/>
            </w:pPr>
            <w:r>
              <w:rPr>
                <w:rFonts w:ascii="宋体" w:hAnsi="宋体" w:eastAsia="宋体"/>
                <w:sz w:val="16"/>
              </w:rPr>
              <w:t>伊犁哈萨克自治州</w:t>
            </w:r>
            <w:r>
              <w:rPr>
                <w:rFonts w:hint="eastAsia" w:ascii="宋体" w:hAnsi="宋体"/>
                <w:sz w:val="16"/>
                <w:lang w:eastAsia="zh-CN"/>
              </w:rPr>
              <w:t>“十四五”规划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745860">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41C7C1">
            <w:pPr>
              <w:jc w:val="center"/>
            </w:pPr>
            <w:r>
              <w:rPr>
                <w:rFonts w:ascii="宋体" w:hAnsi="宋体" w:eastAsia="宋体"/>
                <w:sz w:val="16"/>
              </w:rPr>
              <w: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A1A281">
            <w:pPr>
              <w:jc w:val="center"/>
            </w:pPr>
            <w:r>
              <w:rPr>
                <w:rFonts w:ascii="宋体" w:hAnsi="宋体" w:eastAsia="宋体"/>
                <w:sz w:val="16"/>
              </w:rPr>
              <w:t>15</w:t>
            </w:r>
          </w:p>
        </w:tc>
      </w:tr>
      <w:tr w14:paraId="0C1650E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6BDDAC7"/>
        </w:tc>
        <w:tc>
          <w:tcPr>
            <w:tcW w:w="743" w:type="dxa"/>
            <w:vMerge w:val="continue"/>
            <w:tcBorders>
              <w:top w:val="single" w:color="auto" w:sz="10" w:space="0"/>
              <w:left w:val="single" w:color="auto" w:sz="10" w:space="0"/>
              <w:bottom w:val="single" w:color="auto" w:sz="10" w:space="0"/>
              <w:right w:val="single" w:color="auto" w:sz="10" w:space="0"/>
              <w:insideV w:val="single" w:sz="10" w:space="0"/>
            </w:tcBorders>
          </w:tcPr>
          <w:p w14:paraId="283DEB30"/>
        </w:tc>
        <w:tc>
          <w:tcPr>
            <w:tcW w:w="1467" w:type="dxa"/>
            <w:tcBorders>
              <w:top w:val="single" w:color="auto" w:sz="10" w:space="0"/>
              <w:left w:val="single" w:color="auto" w:sz="10" w:space="0"/>
              <w:bottom w:val="single" w:color="auto" w:sz="10" w:space="0"/>
              <w:right w:val="single" w:color="auto" w:sz="10" w:space="0"/>
              <w:insideV w:val="single" w:sz="10" w:space="0"/>
            </w:tcBorders>
            <w:vAlign w:val="center"/>
          </w:tcPr>
          <w:p w14:paraId="400215AE">
            <w:pPr>
              <w:jc w:val="center"/>
            </w:pPr>
            <w:r>
              <w:rPr>
                <w:rFonts w:ascii="宋体" w:hAnsi="宋体" w:eastAsia="宋体"/>
                <w:sz w:val="16"/>
              </w:rPr>
              <w:t>国家通用语言文字教育教学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B90471">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259014">
            <w:pPr>
              <w:jc w:val="center"/>
            </w:pPr>
            <w:r>
              <w:rPr>
                <w:rFonts w:ascii="宋体" w:hAnsi="宋体" w:eastAsia="宋体"/>
                <w:sz w:val="16"/>
              </w:rPr>
              <w:t>伊犁哈萨克自治州</w:t>
            </w:r>
            <w:r>
              <w:rPr>
                <w:rFonts w:hint="eastAsia" w:ascii="宋体" w:hAnsi="宋体"/>
                <w:sz w:val="16"/>
                <w:lang w:eastAsia="zh-CN"/>
              </w:rPr>
              <w:t>“十四五”规划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BC0AEC">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4BD747">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80832F">
            <w:pPr>
              <w:jc w:val="center"/>
            </w:pPr>
            <w:r>
              <w:rPr>
                <w:rFonts w:ascii="宋体" w:hAnsi="宋体" w:eastAsia="宋体"/>
                <w:sz w:val="16"/>
              </w:rPr>
              <w:t>15</w:t>
            </w:r>
          </w:p>
        </w:tc>
      </w:tr>
    </w:tbl>
    <w:p w14:paraId="4743AE2E">
      <w:r>
        <w:br w:type="page"/>
      </w:r>
    </w:p>
    <w:p w14:paraId="2D9B1B95">
      <w:pPr>
        <w:spacing w:line="640" w:lineRule="exact"/>
        <w:ind w:firstLine="640"/>
        <w:jc w:val="both"/>
        <w:outlineLvl w:val="2"/>
      </w:pPr>
      <w:r>
        <w:rPr>
          <w:rFonts w:ascii="黑体" w:hAnsi="黑体" w:eastAsia="黑体"/>
          <w:sz w:val="32"/>
        </w:rPr>
        <w:t>十二、其他需说明的事项</w:t>
      </w:r>
    </w:p>
    <w:p w14:paraId="7AB1FF41">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25EF2E0B">
      <w:r>
        <w:br w:type="page"/>
      </w:r>
    </w:p>
    <w:p w14:paraId="7C698A16">
      <w:pPr>
        <w:spacing w:line="240" w:lineRule="auto"/>
        <w:jc w:val="center"/>
        <w:outlineLvl w:val="1"/>
      </w:pPr>
      <w:r>
        <w:rPr>
          <w:rFonts w:ascii="黑体" w:hAnsi="黑体" w:eastAsia="黑体"/>
          <w:sz w:val="32"/>
        </w:rPr>
        <w:t>第三部分 专业名词解释</w:t>
      </w:r>
    </w:p>
    <w:p w14:paraId="19AE1B16">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CAE412C">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1DADE6B1">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5D5DE50E">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263FF145">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71A6B19B">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6EF3BD75">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9832190">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A716F45">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1E61B41">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0EB30C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6C49B962">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6D241FBE">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5CB3A215">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23936520">
      <w:r>
        <w:br w:type="page"/>
      </w:r>
    </w:p>
    <w:p w14:paraId="78C39B66">
      <w:pPr>
        <w:spacing w:line="240" w:lineRule="auto"/>
        <w:jc w:val="center"/>
        <w:outlineLvl w:val="1"/>
      </w:pPr>
      <w:r>
        <w:rPr>
          <w:rFonts w:ascii="黑体" w:hAnsi="黑体" w:eastAsia="黑体"/>
          <w:sz w:val="32"/>
        </w:rPr>
        <w:t>第四部分 部门决算报表（见附表）</w:t>
      </w:r>
    </w:p>
    <w:p w14:paraId="609532D6">
      <w:pPr>
        <w:spacing w:line="240" w:lineRule="auto"/>
        <w:ind w:firstLine="640"/>
        <w:jc w:val="both"/>
      </w:pPr>
      <w:r>
        <w:rPr>
          <w:rFonts w:ascii="仿宋_GB2312" w:hAnsi="仿宋_GB2312" w:eastAsia="仿宋_GB2312"/>
          <w:b w:val="0"/>
          <w:sz w:val="32"/>
        </w:rPr>
        <w:t>一、《收入支出决算总表》</w:t>
      </w:r>
    </w:p>
    <w:p w14:paraId="06F9C593">
      <w:pPr>
        <w:spacing w:line="240" w:lineRule="auto"/>
        <w:ind w:firstLine="640"/>
        <w:jc w:val="both"/>
      </w:pPr>
      <w:r>
        <w:rPr>
          <w:rFonts w:ascii="仿宋_GB2312" w:hAnsi="仿宋_GB2312" w:eastAsia="仿宋_GB2312"/>
          <w:b w:val="0"/>
          <w:sz w:val="32"/>
        </w:rPr>
        <w:t>二、《收入决算表》</w:t>
      </w:r>
    </w:p>
    <w:p w14:paraId="7D763485">
      <w:pPr>
        <w:spacing w:line="240" w:lineRule="auto"/>
        <w:ind w:firstLine="640"/>
        <w:jc w:val="both"/>
      </w:pPr>
      <w:r>
        <w:rPr>
          <w:rFonts w:ascii="仿宋_GB2312" w:hAnsi="仿宋_GB2312" w:eastAsia="仿宋_GB2312"/>
          <w:b w:val="0"/>
          <w:sz w:val="32"/>
        </w:rPr>
        <w:t>三、《支出决算表》</w:t>
      </w:r>
    </w:p>
    <w:p w14:paraId="41055033">
      <w:pPr>
        <w:spacing w:line="240" w:lineRule="auto"/>
        <w:ind w:firstLine="640"/>
        <w:jc w:val="both"/>
      </w:pPr>
      <w:r>
        <w:rPr>
          <w:rFonts w:ascii="仿宋_GB2312" w:hAnsi="仿宋_GB2312" w:eastAsia="仿宋_GB2312"/>
          <w:b w:val="0"/>
          <w:sz w:val="32"/>
        </w:rPr>
        <w:t>四、《财政拨款收入支出决算总表》</w:t>
      </w:r>
    </w:p>
    <w:p w14:paraId="2C110246">
      <w:pPr>
        <w:spacing w:line="240" w:lineRule="auto"/>
        <w:ind w:firstLine="640"/>
        <w:jc w:val="both"/>
      </w:pPr>
      <w:r>
        <w:rPr>
          <w:rFonts w:ascii="仿宋_GB2312" w:hAnsi="仿宋_GB2312" w:eastAsia="仿宋_GB2312"/>
          <w:b w:val="0"/>
          <w:sz w:val="32"/>
        </w:rPr>
        <w:t>五、《一般公共预算财政拨款支出决算表》</w:t>
      </w:r>
    </w:p>
    <w:p w14:paraId="2AC240DE">
      <w:pPr>
        <w:spacing w:line="240" w:lineRule="auto"/>
        <w:ind w:firstLine="640"/>
        <w:jc w:val="both"/>
      </w:pPr>
      <w:r>
        <w:rPr>
          <w:rFonts w:ascii="仿宋_GB2312" w:hAnsi="仿宋_GB2312" w:eastAsia="仿宋_GB2312"/>
          <w:b w:val="0"/>
          <w:sz w:val="32"/>
        </w:rPr>
        <w:t>六、《一般公共预算财政拨款基本支出决算表》</w:t>
      </w:r>
    </w:p>
    <w:p w14:paraId="431F6677">
      <w:pPr>
        <w:spacing w:line="240" w:lineRule="auto"/>
        <w:ind w:firstLine="640"/>
        <w:jc w:val="both"/>
      </w:pPr>
      <w:r>
        <w:rPr>
          <w:rFonts w:ascii="仿宋_GB2312" w:hAnsi="仿宋_GB2312" w:eastAsia="仿宋_GB2312"/>
          <w:b w:val="0"/>
          <w:sz w:val="32"/>
        </w:rPr>
        <w:t>七、《政府性基金预算财政拨款收入支出决算表》</w:t>
      </w:r>
    </w:p>
    <w:p w14:paraId="2D235C9C">
      <w:pPr>
        <w:spacing w:line="240" w:lineRule="auto"/>
        <w:ind w:firstLine="640"/>
        <w:jc w:val="both"/>
      </w:pPr>
      <w:r>
        <w:rPr>
          <w:rFonts w:ascii="仿宋_GB2312" w:hAnsi="仿宋_GB2312" w:eastAsia="仿宋_GB2312"/>
          <w:b w:val="0"/>
          <w:sz w:val="32"/>
        </w:rPr>
        <w:t>八、《国有资本经营预算财政拨款收入支出决算表》</w:t>
      </w:r>
    </w:p>
    <w:p w14:paraId="773E62E7">
      <w:pPr>
        <w:spacing w:line="240" w:lineRule="auto"/>
        <w:ind w:firstLine="640"/>
        <w:jc w:val="both"/>
      </w:pPr>
      <w:r>
        <w:rPr>
          <w:rFonts w:ascii="仿宋_GB2312" w:hAnsi="仿宋_GB2312" w:eastAsia="仿宋_GB2312"/>
          <w:b w:val="0"/>
          <w:sz w:val="32"/>
        </w:rPr>
        <w:t>九、《财政拨款“三公”经费支出决算表》</w:t>
      </w:r>
    </w:p>
    <w:p w14:paraId="1CA7178F">
      <w:pPr>
        <w:spacing w:line="240" w:lineRule="auto"/>
        <w:ind w:firstLine="640"/>
        <w:jc w:val="both"/>
      </w:pPr>
    </w:p>
    <w:p w14:paraId="7BC6C0EC">
      <w:pPr>
        <w:spacing w:line="240" w:lineRule="auto"/>
        <w:ind w:firstLine="640"/>
        <w:jc w:val="both"/>
      </w:pPr>
    </w:p>
    <w:p w14:paraId="3BFA03F7">
      <w:pPr>
        <w:spacing w:line="240" w:lineRule="auto"/>
        <w:ind w:firstLine="640"/>
        <w:jc w:val="both"/>
      </w:pPr>
    </w:p>
    <w:p w14:paraId="248E9555">
      <w:pPr>
        <w:spacing w:line="240" w:lineRule="auto"/>
        <w:ind w:firstLine="640"/>
        <w:jc w:val="both"/>
      </w:pPr>
    </w:p>
    <w:p w14:paraId="1F2365F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4BF4243"/>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D745402"/>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B39060E"/>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acfb1a9-66fb-4d0c-8c10-6613745246f6}">
  <ds:schemaRefs/>
</ds:datastoreItem>
</file>

<file path=docProps/app.xml><?xml version="1.0" encoding="utf-8"?>
<Properties xmlns="http://schemas.openxmlformats.org/officeDocument/2006/extended-properties" xmlns:vt="http://schemas.openxmlformats.org/officeDocument/2006/docPropsVTypes">
  <Template>Normal.dotm</Template>
  <Pages>18</Pages>
  <Words>4382</Words>
  <Characters>5137</Characters>
  <Lines>0</Lines>
  <Paragraphs>0</Paragraphs>
  <TotalTime>5</TotalTime>
  <ScaleCrop>false</ScaleCrop>
  <LinksUpToDate>false</LinksUpToDate>
  <CharactersWithSpaces>5145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2025-08-28T09:41:34Z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eyJoZGlkIjoiZjc0YWFlMzUxNjVlZTcxY2FlZTNjZDFlMzE3YzBjNDEiLCJ1c2VySWQiOiIxMTU3MzgyOTA5In0=</vt:lpwstr>
  </property>
</Properties>
</file>