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3EC590"/>
    <w:p w14:paraId="668AFD8A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6E372E2C">
      <w:pPr>
        <w:spacing w:line="540" w:lineRule="exact"/>
        <w:rPr>
          <w:rFonts w:eastAsia="华文中宋"/>
          <w:b/>
          <w:kern w:val="0"/>
          <w:sz w:val="52"/>
          <w:szCs w:val="52"/>
        </w:rPr>
      </w:pPr>
    </w:p>
    <w:p w14:paraId="2F065984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1D59BA2F">
      <w:pPr>
        <w:spacing w:line="540" w:lineRule="exact"/>
        <w:jc w:val="center"/>
        <w:rPr>
          <w:rFonts w:hint="eastAsia" w:ascii="方正小标宋简体" w:hAnsi="方正小标宋简体" w:eastAsia="方正小标宋简体" w:cs="方正小标宋简体"/>
          <w:b/>
          <w:kern w:val="0"/>
          <w:sz w:val="44"/>
          <w:szCs w:val="44"/>
        </w:rPr>
      </w:pPr>
    </w:p>
    <w:p w14:paraId="20F46941">
      <w:pPr>
        <w:spacing w:line="540" w:lineRule="exact"/>
        <w:jc w:val="center"/>
        <w:rPr>
          <w:rFonts w:eastAsia="方正小标宋_GBK"/>
          <w:kern w:val="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专项业务费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lang w:val="en-US" w:eastAsia="zh-CN"/>
        </w:rPr>
        <w:t>(年初本级）</w:t>
      </w: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项目支出绩效评价报告</w:t>
      </w:r>
    </w:p>
    <w:p w14:paraId="2D18BC44">
      <w:pPr>
        <w:spacing w:line="540" w:lineRule="exact"/>
        <w:jc w:val="center"/>
        <w:rPr>
          <w:rFonts w:eastAsia="华文中宋"/>
          <w:b/>
          <w:kern w:val="0"/>
          <w:sz w:val="52"/>
          <w:szCs w:val="52"/>
        </w:rPr>
      </w:pPr>
    </w:p>
    <w:p w14:paraId="7B01CACC">
      <w:pPr>
        <w:spacing w:line="540" w:lineRule="exact"/>
        <w:jc w:val="center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（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 xml:space="preserve"> </w:t>
      </w:r>
      <w:r>
        <w:rPr>
          <w:rFonts w:eastAsia="仿宋_GB2312"/>
          <w:kern w:val="0"/>
          <w:sz w:val="36"/>
          <w:szCs w:val="36"/>
        </w:rPr>
        <w:t>2024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 xml:space="preserve"> </w:t>
      </w:r>
      <w:r>
        <w:rPr>
          <w:rFonts w:eastAsia="仿宋_GB2312"/>
          <w:kern w:val="0"/>
          <w:sz w:val="36"/>
          <w:szCs w:val="36"/>
        </w:rPr>
        <w:t>年度）</w:t>
      </w:r>
    </w:p>
    <w:p w14:paraId="54D400EA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8FBFA11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6AE78510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51CD5AA1">
      <w:pPr>
        <w:pStyle w:val="10"/>
        <w:rPr>
          <w:rFonts w:ascii="Times New Roman" w:hAnsi="Times New Roman"/>
        </w:rPr>
      </w:pPr>
    </w:p>
    <w:p w14:paraId="40024F72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799B6A08">
      <w:pPr>
        <w:spacing w:line="540" w:lineRule="exact"/>
        <w:rPr>
          <w:rFonts w:eastAsia="仿宋_GB2312"/>
          <w:kern w:val="0"/>
          <w:sz w:val="30"/>
          <w:szCs w:val="30"/>
        </w:rPr>
      </w:pPr>
    </w:p>
    <w:p w14:paraId="3E54F61A">
      <w:pPr>
        <w:spacing w:line="700" w:lineRule="exact"/>
        <w:ind w:firstLine="1440" w:firstLineChars="400"/>
        <w:jc w:val="left"/>
        <w:rPr>
          <w:rFonts w:hint="default" w:eastAsia="仿宋_GB2312"/>
          <w:kern w:val="0"/>
          <w:sz w:val="36"/>
          <w:szCs w:val="36"/>
          <w:lang w:val="en-US" w:eastAsia="zh-CN"/>
        </w:rPr>
      </w:pPr>
      <w:r>
        <w:rPr>
          <w:rFonts w:eastAsia="仿宋_GB2312"/>
          <w:kern w:val="0"/>
          <w:sz w:val="36"/>
          <w:szCs w:val="36"/>
        </w:rPr>
        <w:t>项目名称：</w:t>
      </w:r>
      <w:r>
        <w:rPr>
          <w:rFonts w:hint="eastAsia" w:eastAsia="仿宋_GB2312"/>
          <w:kern w:val="0"/>
          <w:sz w:val="36"/>
          <w:szCs w:val="36"/>
        </w:rPr>
        <w:t>专项业务费</w:t>
      </w:r>
      <w:r>
        <w:rPr>
          <w:rFonts w:hint="eastAsia" w:eastAsia="仿宋_GB2312"/>
          <w:kern w:val="0"/>
          <w:sz w:val="36"/>
          <w:szCs w:val="36"/>
          <w:lang w:val="en-US" w:eastAsia="zh-CN"/>
        </w:rPr>
        <w:t>(年初本级）</w:t>
      </w:r>
    </w:p>
    <w:p w14:paraId="218E3540">
      <w:pPr>
        <w:spacing w:line="700" w:lineRule="exact"/>
        <w:ind w:firstLine="1440" w:firstLineChars="400"/>
        <w:jc w:val="left"/>
        <w:rPr>
          <w:rFonts w:eastAsia="仿宋_GB2312"/>
          <w:kern w:val="0"/>
          <w:sz w:val="32"/>
          <w:szCs w:val="32"/>
        </w:rPr>
      </w:pPr>
      <w:r>
        <w:rPr>
          <w:rFonts w:eastAsia="仿宋_GB2312"/>
          <w:kern w:val="0"/>
          <w:sz w:val="36"/>
          <w:szCs w:val="36"/>
        </w:rPr>
        <w:t>实施单位（公章）：</w:t>
      </w:r>
      <w:r>
        <w:rPr>
          <w:rFonts w:hint="eastAsia" w:eastAsia="仿宋_GB2312"/>
          <w:kern w:val="0"/>
          <w:sz w:val="32"/>
          <w:szCs w:val="32"/>
        </w:rPr>
        <w:t>中共特克斯县委员会办公室</w:t>
      </w:r>
    </w:p>
    <w:p w14:paraId="2AF77CD0">
      <w:pPr>
        <w:spacing w:line="700" w:lineRule="exact"/>
        <w:ind w:firstLine="1440" w:firstLineChars="400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主管部门（公章）：</w:t>
      </w:r>
      <w:r>
        <w:rPr>
          <w:rFonts w:hint="eastAsia" w:eastAsia="仿宋_GB2312"/>
          <w:kern w:val="0"/>
          <w:sz w:val="32"/>
          <w:szCs w:val="32"/>
        </w:rPr>
        <w:t>中共特克斯县委员会办公室</w:t>
      </w:r>
    </w:p>
    <w:p w14:paraId="027D9CD0">
      <w:pPr>
        <w:spacing w:line="700" w:lineRule="exact"/>
        <w:ind w:firstLine="1440" w:firstLineChars="400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项目负责人（签章）：</w:t>
      </w:r>
      <w:r>
        <w:rPr>
          <w:rFonts w:hint="eastAsia" w:eastAsia="仿宋_GB2312"/>
          <w:kern w:val="0"/>
          <w:sz w:val="36"/>
          <w:szCs w:val="36"/>
        </w:rPr>
        <w:t>吉正江</w:t>
      </w:r>
    </w:p>
    <w:p w14:paraId="488E3346">
      <w:pPr>
        <w:spacing w:line="700" w:lineRule="exact"/>
        <w:ind w:firstLine="1440" w:firstLineChars="400"/>
        <w:jc w:val="left"/>
        <w:rPr>
          <w:rFonts w:eastAsia="仿宋_GB2312"/>
          <w:kern w:val="0"/>
          <w:sz w:val="36"/>
          <w:szCs w:val="36"/>
        </w:rPr>
      </w:pPr>
      <w:r>
        <w:rPr>
          <w:rFonts w:eastAsia="仿宋_GB2312"/>
          <w:kern w:val="0"/>
          <w:sz w:val="36"/>
          <w:szCs w:val="36"/>
        </w:rPr>
        <w:t>填报时间：</w:t>
      </w:r>
      <w:r>
        <w:rPr>
          <w:rFonts w:hint="eastAsia" w:eastAsia="仿宋_GB2312"/>
          <w:kern w:val="0"/>
          <w:sz w:val="36"/>
          <w:szCs w:val="36"/>
        </w:rPr>
        <w:t>2025</w:t>
      </w:r>
      <w:r>
        <w:rPr>
          <w:rFonts w:eastAsia="仿宋_GB2312"/>
          <w:kern w:val="0"/>
          <w:sz w:val="36"/>
          <w:szCs w:val="36"/>
        </w:rPr>
        <w:t>年</w:t>
      </w:r>
      <w:r>
        <w:rPr>
          <w:rFonts w:hint="eastAsia" w:eastAsia="仿宋_GB2312"/>
          <w:kern w:val="0"/>
          <w:sz w:val="36"/>
          <w:szCs w:val="36"/>
        </w:rPr>
        <w:t>5</w:t>
      </w:r>
      <w:r>
        <w:rPr>
          <w:rFonts w:eastAsia="仿宋_GB2312"/>
          <w:kern w:val="0"/>
          <w:sz w:val="36"/>
          <w:szCs w:val="36"/>
        </w:rPr>
        <w:t>月</w:t>
      </w:r>
      <w:r>
        <w:rPr>
          <w:rFonts w:hint="eastAsia" w:eastAsia="仿宋_GB2312"/>
          <w:kern w:val="0"/>
          <w:sz w:val="36"/>
          <w:szCs w:val="36"/>
        </w:rPr>
        <w:t>15</w:t>
      </w:r>
      <w:r>
        <w:rPr>
          <w:rFonts w:eastAsia="仿宋_GB2312"/>
          <w:kern w:val="0"/>
          <w:sz w:val="36"/>
          <w:szCs w:val="36"/>
        </w:rPr>
        <w:t>日</w:t>
      </w:r>
    </w:p>
    <w:p w14:paraId="6EA2FB9A">
      <w:pPr>
        <w:spacing w:line="540" w:lineRule="exact"/>
        <w:jc w:val="center"/>
        <w:rPr>
          <w:rFonts w:eastAsia="仿宋_GB2312"/>
          <w:kern w:val="0"/>
          <w:sz w:val="30"/>
          <w:szCs w:val="30"/>
        </w:rPr>
      </w:pPr>
    </w:p>
    <w:p w14:paraId="15E5313A">
      <w:pPr>
        <w:spacing w:line="540" w:lineRule="exact"/>
        <w:rPr>
          <w:rStyle w:val="16"/>
          <w:rFonts w:eastAsia="黑体"/>
          <w:b w:val="0"/>
          <w:spacing w:val="-4"/>
          <w:sz w:val="32"/>
          <w:szCs w:val="32"/>
        </w:rPr>
      </w:pPr>
    </w:p>
    <w:p w14:paraId="2BE7CA28">
      <w:pPr>
        <w:spacing w:line="540" w:lineRule="exact"/>
        <w:ind w:firstLine="640"/>
        <w:rPr>
          <w:rStyle w:val="16"/>
          <w:rFonts w:eastAsia="黑体"/>
          <w:b w:val="0"/>
          <w:spacing w:val="-4"/>
          <w:sz w:val="32"/>
          <w:szCs w:val="32"/>
        </w:rPr>
      </w:pPr>
    </w:p>
    <w:p w14:paraId="4043B7CB">
      <w:pPr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br w:type="page"/>
      </w:r>
    </w:p>
    <w:p w14:paraId="22DD2AFC">
      <w:pPr>
        <w:spacing w:line="560" w:lineRule="exact"/>
        <w:ind w:firstLine="640" w:firstLineChars="200"/>
        <w:rPr>
          <w:rFonts w:eastAsia="黑体"/>
          <w:bCs/>
          <w:sz w:val="32"/>
          <w:szCs w:val="32"/>
        </w:rPr>
      </w:pPr>
      <w:r>
        <w:rPr>
          <w:rFonts w:eastAsia="黑体"/>
          <w:bCs/>
          <w:sz w:val="32"/>
          <w:szCs w:val="32"/>
        </w:rPr>
        <w:t>一、基本情况</w:t>
      </w:r>
    </w:p>
    <w:p w14:paraId="3C91EED4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（一）项目概况</w:t>
      </w:r>
    </w:p>
    <w:p w14:paraId="70C10CFE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1.项目背景</w:t>
      </w:r>
    </w:p>
    <w:p w14:paraId="109A0AAC">
      <w:pPr>
        <w:pStyle w:val="10"/>
        <w:spacing w:before="0" w:after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bookmarkStart w:id="0" w:name="OLE_LINK1"/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专项业务费（年初本级）项目</w:t>
      </w:r>
      <w:bookmarkEnd w:id="0"/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保证县委各项工作正常运转，使县委的</w:t>
      </w:r>
      <w:bookmarkStart w:id="3" w:name="_GoBack"/>
      <w:bookmarkEnd w:id="3"/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各项决策部署、工作要求落实到位。认真履行综合协调、信息服务、参谋助手、督查落实等功能，充分发挥沟通上下、联系左右、协调内外作用，切实肩负起党委“坚强前哨”“巩固后院”职责，调动和服务县委工作大局，保障县委各项工作顺利开展。</w:t>
      </w:r>
    </w:p>
    <w:p w14:paraId="6243039D">
      <w:pPr>
        <w:pStyle w:val="10"/>
        <w:spacing w:before="0" w:after="0" w:line="560" w:lineRule="exact"/>
        <w:ind w:firstLine="643" w:firstLineChars="200"/>
        <w:jc w:val="both"/>
        <w:rPr>
          <w:rFonts w:ascii="Times New Roman" w:hAnsi="Times New Roman" w:eastAsia="仿宋_GB2312"/>
          <w:kern w:val="2"/>
        </w:rPr>
      </w:pPr>
      <w:r>
        <w:rPr>
          <w:rFonts w:ascii="Times New Roman" w:hAnsi="Times New Roman" w:eastAsia="仿宋_GB2312"/>
          <w:kern w:val="2"/>
        </w:rPr>
        <w:t>2.项目主要内容：</w:t>
      </w:r>
    </w:p>
    <w:p w14:paraId="7994CBAE">
      <w:pPr>
        <w:pStyle w:val="10"/>
        <w:spacing w:before="0" w:after="0" w:line="560" w:lineRule="exact"/>
        <w:ind w:firstLine="640" w:firstLineChars="200"/>
        <w:jc w:val="both"/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项目主要内容：本项目主要用于县委办公室日常工作，围绕县委的各项工作部署，综合协调县各套班子，上下级党委之间工作,组织协调各乡（镇）、各单位开展工作、抓好落实。收集并反映全县重要信息和动态；督促检查县委部署的各项工作贯彻执行情况、全县档案事业行政管理、调动和服务县委工作大局。保障县委办公室正常运转。</w:t>
      </w:r>
    </w:p>
    <w:p w14:paraId="41F7302A">
      <w:pPr>
        <w:pStyle w:val="10"/>
        <w:spacing w:before="0" w:after="0" w:line="560" w:lineRule="exact"/>
        <w:ind w:firstLine="640" w:firstLineChars="200"/>
        <w:jc w:val="both"/>
        <w:rPr>
          <w:rFonts w:ascii="仿宋_GB2312" w:eastAsia="仿宋_GB2312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项目实施情况：专项业务费（年初本级）项目保障了县委办公室会议系统正常使用及畅通,各类会议得到保障，办公室6辆车正常运转，41名干部办公得到有效保障。县委各项政策能够得到及时有效地传达、贯彻、落实。有效确保全县文件、信息工作的安全性、准确性及时性，无失泄密事件发生，督查工作落实到位，使县委办公室各项工作顺利开展。</w:t>
      </w:r>
    </w:p>
    <w:p w14:paraId="42166942">
      <w:pPr>
        <w:spacing w:line="560" w:lineRule="exact"/>
        <w:ind w:firstLine="643" w:firstLineChars="20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3.资金投入和使用情况</w:t>
      </w:r>
    </w:p>
    <w:p w14:paraId="101E855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（1）资金投入情况</w:t>
      </w:r>
    </w:p>
    <w:p w14:paraId="56D2EB34">
      <w:pPr>
        <w:spacing w:line="600" w:lineRule="exact"/>
        <w:ind w:firstLine="640" w:firstLineChars="200"/>
        <w:outlineLvl w:val="0"/>
        <w:rPr>
          <w:rFonts w:ascii="仿宋_GB2312" w:eastAsia="仿宋_GB2312"/>
          <w:color w:val="FF0000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该项目年初预算数50万元，全年预算数50万元，该项目资金已落实到位40.08万元，资金来源为财政拨款。</w:t>
      </w:r>
    </w:p>
    <w:p w14:paraId="4441E92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（2）资金使用情况</w:t>
      </w:r>
    </w:p>
    <w:p w14:paraId="713BC7A2">
      <w:pPr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该项目年初预算数50万元，全年预算数50万元，全年执行数40.08万元，预算执行率为80.16%，主要用于：专项业务费保障了县委办公室会议系统正常使用及畅通,各类会议得到保障，办公室6辆车正常运转，41名干部办公得到有效保障。县委各项政策能够得到及时有效地传达、贯彻、落实。有效确保全县文件、信息工作的安全性、准确性及时性，无失泄密事件发生，督查工作落实到位，使县委办公室各项工作顺利开展。</w:t>
      </w:r>
    </w:p>
    <w:p w14:paraId="684FF147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（二）项目绩效目标</w:t>
      </w:r>
    </w:p>
    <w:p w14:paraId="07DFDE25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总体目标</w:t>
      </w:r>
    </w:p>
    <w:p w14:paraId="6B1C58FC">
      <w:pPr>
        <w:widowControl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根据特党办字【2019】8号文件，用于保障县委办公室本单位、7辆车、41名干部办公运转。县委政策能够得到及时有效地传达、贯彻、落实。确保全县文件、信息工作的安全性、准确性及时性，无失泄密事件发生，督查工作落实到位，全县档案事业行政管理、全县会议系统正常使用及畅通。保证县委办公室各项工作顺利开展。</w:t>
      </w:r>
    </w:p>
    <w:p w14:paraId="1A07A1E9">
      <w:pPr>
        <w:spacing w:line="560" w:lineRule="exact"/>
        <w:ind w:firstLine="640" w:firstLineChars="200"/>
        <w:rPr>
          <w:rFonts w:eastAsia="仿宋_GB2312"/>
          <w:color w:val="FF0000"/>
          <w:sz w:val="30"/>
          <w:szCs w:val="30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仿宋_GB2312"/>
          <w:sz w:val="32"/>
          <w:szCs w:val="32"/>
        </w:rPr>
        <w:t>阶段性目标</w:t>
      </w:r>
    </w:p>
    <w:p w14:paraId="14AAD1BA">
      <w:pPr>
        <w:spacing w:line="560" w:lineRule="exact"/>
        <w:ind w:firstLine="640" w:firstLineChars="200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专项业务费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eastAsia="zh-CN"/>
        </w:rPr>
        <w:t>（年初本级）项目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障县委办公室本单位、7辆车、41名干部办公运转。上半年召开全委扩大会议一次，完成全委扩大会议提出的高质量发展的社会环境、高质量发展整体推进、高质量发展的坚实基础3个督查事项。完成档案、保密上半年培训任务。</w:t>
      </w:r>
    </w:p>
    <w:p w14:paraId="03D50F6C">
      <w:pPr>
        <w:spacing w:line="560" w:lineRule="exact"/>
        <w:ind w:firstLine="640" w:firstLineChars="200"/>
        <w:rPr>
          <w:rFonts w:ascii="仿宋_GB2312" w:eastAsia="仿宋_GB2312"/>
          <w:bCs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下半年完成电信、联通公司网络使用费、支付党代会餐费与会务用品费，县委政策能够得到及时有效地传达、贯彻、落实。保证县委办公室各项工作顺利开展。</w:t>
      </w:r>
    </w:p>
    <w:p w14:paraId="0E6FA0A0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二、绩效评价工作开展情况</w:t>
      </w:r>
    </w:p>
    <w:p w14:paraId="556BA7FE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（一）绩效评价目的、对象和范围</w:t>
      </w:r>
    </w:p>
    <w:p w14:paraId="3491AF3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1.绩效评价完整性</w:t>
      </w:r>
    </w:p>
    <w:p w14:paraId="5394D65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本项目预算绩效评价报告在编制过程中，严格遵循相关法规与标准，确保评价内容的全面性与准确性。报告涵盖了项目从预算编制、执行到完成的全过程，对项目的各项绩效指标进行了细致的梳理与评估。</w:t>
      </w:r>
    </w:p>
    <w:p w14:paraId="2A212803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评价指标体系的构建上，充分考虑了项目的性质、目标以及预期成果，选取了具有代表性和可衡量性的关键指标，涵盖了社会效益等维度，力求全方位反映项目的绩效状况。同时，对于每个指标的评价标准和数据来源均进行了明确说明，确保评价结果的客观性和可追溯性。</w:t>
      </w:r>
    </w:p>
    <w:p w14:paraId="0CA14E36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数据收集与分析环节，采用了多种科学合理的方法，如问卷调查、数据分析等，广泛收集了与项目相关的各类数据，并运用专业的统计分析工具对数据进行深入挖掘，以确保评价结论的科学性和可靠性。此外，还对数据的质量和完整性进行了严格把控，对于缺失或异常的数据进行了合理的处理和说明，保证了评价数据的真实性和有效性。</w:t>
      </w:r>
    </w:p>
    <w:p w14:paraId="6040AA32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在报告的撰写结构上，按照统一的格式和规范进行编排，内容层次分明、条理清晰。首先对项目的背景、目标和预算安排进行了简要介绍，为后续的绩效评价提供了必要的背景信息；接着详细阐述了绩效评价的指标体系、评价方法和数据来源，为评价过程的透明性和可复现性奠定了基础；然后对各项绩效指标的完成情况进行了逐一分析和评价，指出了项目在实施过程中存在的问题和不足，并提出了相应的改进建议；最后对整个项目的绩效状况进行了综合总结，给出了明确的评价结论和后续工作的建议，为项目的持续改进和决策提供了有力支持。</w:t>
      </w:r>
    </w:p>
    <w:p w14:paraId="53232B48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项目预算绩效评价报告在内容、方法和数据等方面均具备较高的完整性，能够真实、客观地反映项目的绩效情况，为项目管理决策提供了有价值的参考依据。在未来的工作中，我们将继续完善绩效评价体系，不断提升评价工作的质量和水平，以更好地服务于项目的管理和优化。</w:t>
      </w:r>
    </w:p>
    <w:p w14:paraId="59B0E094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2.绩效评价的目的</w:t>
      </w:r>
    </w:p>
    <w:p w14:paraId="0A69D939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（1）评估项目实施效果</w:t>
      </w:r>
    </w:p>
    <w:p w14:paraId="33B2AEE5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通过对项目预算执行情况及各项绩效目标达成程度的系统性分析，全面、客观地评估项目在预定周期内的实施效果，包括社会效益指标，为项目后续的改进与优化提供科学依据。</w:t>
      </w:r>
    </w:p>
    <w:p w14:paraId="3BC4F31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（2）提升资源利用效率</w:t>
      </w:r>
    </w:p>
    <w:p w14:paraId="3E06AFA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深入剖析项目预算资金的投入与产出关系，识别资金使用过程中的冗余环节与低效领域，挖掘潜在的资源优化配置空间，推动项目在有限的预算资源下实现更高的绩效产出，提升整体资源利用效率，确保财政资金的合理、高效运用。</w:t>
      </w:r>
    </w:p>
    <w:p w14:paraId="37701C4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（3）强化项目管理责任</w:t>
      </w:r>
    </w:p>
    <w:p w14:paraId="032209B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明确项目各参与主体在预算绩效管理中的职责与任务，借助绩效评价结果对项目管理过程进行监督与问责，促使项目管理者增强责任意识，主动优化管理流程，完善内部控制机制，提高项目管理水平与执行力，保障项目按计划、高质量推进。</w:t>
      </w:r>
    </w:p>
    <w:p w14:paraId="7391778C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（4）为决策提供支持</w:t>
      </w:r>
    </w:p>
    <w:p w14:paraId="09A0130F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为项目主管部门、财政部门及相关决策层提供详实、准确的绩效评价信息，辅助其在项目审批、预算安排、政策调整等关键决策环节做出更加科学、合理的判断，促进项目资源的合理分配与有效整合，推动项目管理体系的不断完善与升级，提升公共资源配置的精准度与有效性。</w:t>
      </w:r>
    </w:p>
    <w:p w14:paraId="51CF05AD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（5）促进项目持续改进</w:t>
      </w:r>
    </w:p>
    <w:p w14:paraId="2DB2B31B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基于绩效评价发现的问题与不足，提出针对性的改进建议与措施，引导项目团队聚焦关键环节，持续优化项目实施方案，加强过程监控与质量把控，形成项目绩效持续改进的良性循环，不断提升项目整体绩效水平，实现项目长期稳定发展的目标。</w:t>
      </w:r>
    </w:p>
    <w:p w14:paraId="4DEE7AAA"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项目预算绩效评价报告的编制以提升项目绩效为核心，旨在通过科学、严谨的评价工作，为项目管理与决策提供全方位、深层次的支持，推动项目在预算约束下实现高质量、可持续发展，充分发挥财政资金的经济效益与社会效益。</w:t>
      </w:r>
    </w:p>
    <w:p w14:paraId="1197B46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3</w:t>
      </w:r>
      <w:r>
        <w:rPr>
          <w:rFonts w:hint="eastAsia" w:ascii="仿宋_GB2312" w:hAnsi="Times New Roman" w:eastAsia="仿宋_GB2312"/>
        </w:rPr>
        <w:t>.</w:t>
      </w:r>
      <w:r>
        <w:rPr>
          <w:rFonts w:hint="eastAsia" w:ascii="仿宋_GB2312" w:hAnsi="Times New Roman" w:eastAsia="仿宋_GB2312"/>
          <w:b w:val="0"/>
          <w:bCs w:val="0"/>
        </w:rPr>
        <w:t>绩效评价的对象</w:t>
      </w:r>
    </w:p>
    <w:p w14:paraId="12EE60BD">
      <w:pPr>
        <w:widowControl/>
        <w:spacing w:line="560" w:lineRule="exact"/>
        <w:ind w:firstLine="640" w:firstLineChars="200"/>
        <w:rPr>
          <w:rFonts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/>
          <w:bCs/>
          <w:sz w:val="32"/>
          <w:szCs w:val="32"/>
        </w:rPr>
        <w:t>本项目预算绩效评价报告的评价对象是</w:t>
      </w:r>
      <w:r>
        <w:rPr>
          <w:rFonts w:hint="eastAsia" w:ascii="仿宋_GB2312" w:hAnsi="宋体" w:eastAsia="仿宋_GB2312" w:cs="宋体"/>
          <w:b w:val="0"/>
          <w:color w:val="333333"/>
          <w:kern w:val="0"/>
          <w:sz w:val="32"/>
          <w:szCs w:val="32"/>
        </w:rPr>
        <w:t>专项业务费</w:t>
      </w:r>
      <w:r>
        <w:rPr>
          <w:rFonts w:hint="eastAsia" w:ascii="仿宋_GB2312" w:hAnsi="宋体" w:eastAsia="仿宋_GB2312" w:cs="宋体"/>
          <w:b w:val="0"/>
          <w:color w:val="333333"/>
          <w:kern w:val="0"/>
          <w:sz w:val="32"/>
          <w:szCs w:val="32"/>
          <w:lang w:eastAsia="zh-CN"/>
        </w:rPr>
        <w:t>（年初本级）项目</w:t>
      </w:r>
      <w:r>
        <w:rPr>
          <w:rFonts w:hint="eastAsia" w:ascii="仿宋_GB2312" w:eastAsia="仿宋_GB2312"/>
          <w:bCs/>
          <w:sz w:val="32"/>
          <w:szCs w:val="32"/>
        </w:rPr>
        <w:t>及其预算执行情况。该项目由中共特克斯县委员会办公室负责实施，旨在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根据特党办文件，用于保障县委办公室本单位、7辆车、41名干部办公运转。县委政策能够得到及时有效地传达、贯彻、落实。确保全县文件、信息工作的安全性、准确性及时性，无失泄密事件发生，督查工作落实到位，全县档案事业行政管理、全县会议系统正常使用及畅通。保证县委办公室各项工作顺利开展。</w:t>
      </w:r>
      <w:r>
        <w:rPr>
          <w:rFonts w:hint="eastAsia" w:ascii="仿宋_GB2312" w:eastAsia="仿宋_GB2312"/>
          <w:bCs/>
          <w:sz w:val="32"/>
          <w:szCs w:val="32"/>
        </w:rPr>
        <w:t>项目预算涵盖从2024年1月1日至2024年12月25日的全部资金投入与支出，涉及资金总额为40.08万元。</w:t>
      </w:r>
    </w:p>
    <w:p w14:paraId="2337B244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4.绩效评价的范围</w:t>
      </w:r>
    </w:p>
    <w:p w14:paraId="41800E52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本项目预算绩效评价报告的评价范围广泛而全面，涵盖了从项目立项至评价时点期间的所有关键预算活动和财务流程。具体而言，评价范围包括但不限于以下几个方面：</w:t>
      </w:r>
    </w:p>
    <w:p w14:paraId="2BBB2930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项目预算编制与执行：全面审视项目预算的编制依据、合理性、科学性以及实际执行情况，包括预算调整的原因和效果。</w:t>
      </w:r>
    </w:p>
    <w:p w14:paraId="7BDC3DAA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资金管理：深入分析项目资金的分配、使用和监管情况，确保资金使用的合规性、高效性和透明度。</w:t>
      </w:r>
    </w:p>
    <w:p w14:paraId="1BB4A3DD">
      <w:pPr>
        <w:pStyle w:val="10"/>
        <w:widowControl w:val="0"/>
        <w:numPr>
          <w:ilvl w:val="0"/>
          <w:numId w:val="1"/>
        </w:numPr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</w:rPr>
      </w:pPr>
      <w:r>
        <w:rPr>
          <w:rFonts w:hint="eastAsia" w:ascii="仿宋_GB2312" w:hAnsi="Times New Roman" w:eastAsia="仿宋_GB2312"/>
          <w:b w:val="0"/>
          <w:bCs w:val="0"/>
        </w:rPr>
        <w:t>项目实施进度与产出：评估项目是否按照既定计划顺利推进，各项任务是否按时完成，以及项目产出的数量、质量和时效性是否符合预期。</w:t>
      </w:r>
    </w:p>
    <w:p w14:paraId="2D60D0A6">
      <w:pPr>
        <w:pStyle w:val="10"/>
        <w:widowControl w:val="0"/>
        <w:numPr>
          <w:ilvl w:val="0"/>
          <w:numId w:val="0"/>
        </w:numPr>
        <w:spacing w:before="0" w:after="0" w:line="560" w:lineRule="exact"/>
        <w:ind w:firstLine="640" w:firstLineChars="200"/>
        <w:jc w:val="both"/>
        <w:outlineLvl w:val="9"/>
        <w:rPr>
          <w:rFonts w:ascii="仿宋_GB2312" w:hAnsi="Times New Roman" w:eastAsia="仿宋_GB2312"/>
          <w:b w:val="0"/>
          <w:bCs w:val="0"/>
          <w:sz w:val="30"/>
          <w:szCs w:val="30"/>
          <w:highlight w:val="yellow"/>
        </w:rPr>
      </w:pPr>
      <w:r>
        <w:rPr>
          <w:rFonts w:hint="eastAsia" w:ascii="仿宋_GB2312" w:hAnsi="Times New Roman" w:eastAsia="仿宋_GB2312"/>
          <w:b w:val="0"/>
          <w:bCs w:val="0"/>
          <w:highlight w:val="none"/>
          <w:lang w:eastAsia="zh-CN"/>
        </w:rPr>
        <w:t>（</w:t>
      </w:r>
      <w:r>
        <w:rPr>
          <w:rFonts w:hint="eastAsia" w:ascii="仿宋_GB2312" w:hAnsi="Times New Roman" w:eastAsia="仿宋_GB2312"/>
          <w:b w:val="0"/>
          <w:bCs w:val="0"/>
          <w:highlight w:val="none"/>
          <w:lang w:val="en-US" w:eastAsia="zh-CN"/>
        </w:rPr>
        <w:t>4）</w:t>
      </w:r>
      <w:r>
        <w:rPr>
          <w:rFonts w:hint="eastAsia" w:ascii="仿宋_GB2312" w:hAnsi="Times New Roman" w:eastAsia="仿宋_GB2312"/>
          <w:b w:val="0"/>
          <w:bCs w:val="0"/>
          <w:highlight w:val="none"/>
        </w:rPr>
        <w:t>社会等影响：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eastAsia="zh-CN"/>
        </w:rPr>
        <w:t>本项目保障办公室各项工作顺利开展。</w:t>
      </w:r>
    </w:p>
    <w:p w14:paraId="28550185">
      <w:pPr>
        <w:spacing w:line="560" w:lineRule="exact"/>
        <w:ind w:firstLine="643" w:firstLineChars="200"/>
      </w:pPr>
      <w:r>
        <w:rPr>
          <w:rFonts w:eastAsia="楷体_GB2312"/>
          <w:b/>
          <w:bCs/>
          <w:sz w:val="32"/>
          <w:szCs w:val="32"/>
        </w:rPr>
        <w:t>（二）绩效评价原则、评价指标体系（详情见表1）、评价方法、评价标准。</w:t>
      </w:r>
    </w:p>
    <w:p w14:paraId="454E067B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1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绩效评价原则</w:t>
      </w:r>
    </w:p>
    <w:p w14:paraId="19FC32F8">
      <w:pPr>
        <w:spacing w:line="560" w:lineRule="exact"/>
        <w:ind w:firstLine="640" w:firstLineChars="200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本次项目绩效评价遵循以下基本原则：</w:t>
      </w:r>
    </w:p>
    <w:p w14:paraId="3B53E96A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（1）科学公正。绩效评价应当运用科学合理的方法，按照规范的程序，对项目绩效进行客观、公正的反映。</w:t>
      </w:r>
    </w:p>
    <w:p w14:paraId="575CA699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</w:p>
    <w:p w14:paraId="20530A13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（3）激励约束。绩效评价结果应与预算安排、政策调整、改进管理实质性挂钩，体现奖优罚劣和激励相容导向，有效要安排、低效要压减、无效要问责。</w:t>
      </w:r>
    </w:p>
    <w:p w14:paraId="689B6FFC">
      <w:pPr>
        <w:pStyle w:val="1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（4）公开透明。绩效评价结果应依法依规公开，并自觉接受社会监督。</w:t>
      </w:r>
    </w:p>
    <w:p w14:paraId="3B687E0C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2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评价指标体系</w:t>
      </w:r>
    </w:p>
    <w:p w14:paraId="2A0BC98A">
      <w:pPr>
        <w:spacing w:line="560" w:lineRule="exact"/>
        <w:ind w:firstLine="708" w:firstLineChars="200"/>
        <w:rPr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</w:p>
    <w:p w14:paraId="77BE947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（1）确定评价指标</w:t>
      </w:r>
    </w:p>
    <w:p w14:paraId="2AD51DA1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</w:p>
    <w:p w14:paraId="0C1860D7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（2）确定权重</w:t>
      </w:r>
    </w:p>
    <w:p w14:paraId="4988ACD7">
      <w:pPr>
        <w:spacing w:line="560" w:lineRule="exact"/>
        <w:ind w:firstLine="708" w:firstLineChars="200"/>
        <w:rPr>
          <w:rFonts w:ascii="仿宋_GB2312" w:eastAsia="仿宋_GB2312"/>
          <w:color w:val="FF0000"/>
          <w:spacing w:val="17"/>
          <w:sz w:val="32"/>
          <w:szCs w:val="32"/>
        </w:rPr>
      </w:pPr>
      <w:r>
        <w:rPr>
          <w:rFonts w:hint="eastAsia" w:ascii="仿宋_GB2312" w:eastAsia="仿宋_GB2312"/>
          <w:color w:val="000000"/>
          <w:spacing w:val="17"/>
          <w:sz w:val="32"/>
          <w:szCs w:val="32"/>
        </w:rPr>
        <w:t>确定各个指标相对于项目总体绩效的权重分值。在绩效评价指标体系中，项目决策权重为20分，项目过程权重为</w:t>
      </w:r>
      <w:r>
        <w:rPr>
          <w:rFonts w:hint="eastAsia" w:ascii="仿宋_GB2312" w:eastAsia="仿宋_GB2312"/>
          <w:color w:val="000000"/>
          <w:spacing w:val="17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color w:val="000000"/>
          <w:spacing w:val="17"/>
          <w:sz w:val="32"/>
          <w:szCs w:val="32"/>
        </w:rPr>
        <w:t>分，项目产出权重为</w:t>
      </w:r>
      <w:r>
        <w:rPr>
          <w:rFonts w:hint="eastAsia" w:ascii="仿宋_GB2312" w:eastAsia="仿宋_GB2312"/>
          <w:color w:val="000000"/>
          <w:spacing w:val="17"/>
          <w:sz w:val="32"/>
          <w:szCs w:val="32"/>
          <w:lang w:val="en-US" w:eastAsia="zh-CN"/>
        </w:rPr>
        <w:t>40</w:t>
      </w:r>
      <w:r>
        <w:rPr>
          <w:rFonts w:hint="eastAsia" w:ascii="仿宋_GB2312" w:eastAsia="仿宋_GB2312"/>
          <w:color w:val="000000"/>
          <w:spacing w:val="17"/>
          <w:sz w:val="32"/>
          <w:szCs w:val="32"/>
        </w:rPr>
        <w:t>分，项目效益权重为20分。</w:t>
      </w:r>
    </w:p>
    <w:p w14:paraId="4E477B89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（3）确定指标标准值</w:t>
      </w:r>
    </w:p>
    <w:p w14:paraId="3DE522B6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</w:p>
    <w:p w14:paraId="21A2A286">
      <w:pPr>
        <w:pStyle w:val="10"/>
        <w:spacing w:before="0" w:after="0" w:line="560" w:lineRule="exact"/>
        <w:ind w:firstLine="708" w:firstLineChars="200"/>
        <w:jc w:val="both"/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  <w:kern w:val="2"/>
        </w:rPr>
        <w:t>绩效评价总分值100分，根据综合评分结果，90（含）-100分为优、80（含）-90分为良、60（含）-80分为中、60分以下为差。</w:t>
      </w:r>
    </w:p>
    <w:p w14:paraId="73E7060E">
      <w:pPr>
        <w:pStyle w:val="10"/>
        <w:widowControl w:val="0"/>
        <w:spacing w:before="0" w:after="0" w:line="560" w:lineRule="exact"/>
        <w:ind w:firstLine="708" w:firstLineChars="200"/>
        <w:jc w:val="both"/>
        <w:outlineLvl w:val="9"/>
        <w:rPr>
          <w:rFonts w:ascii="Times New Roman" w:hAnsi="Times New Roman" w:eastAsia="仿宋_GB2312"/>
          <w:b w:val="0"/>
          <w:bCs w:val="0"/>
          <w:color w:val="000000"/>
          <w:spacing w:val="17"/>
        </w:rPr>
      </w:pPr>
      <w:r>
        <w:rPr>
          <w:rFonts w:ascii="Times New Roman" w:hAnsi="Times New Roman" w:eastAsia="仿宋_GB2312"/>
          <w:b w:val="0"/>
          <w:bCs w:val="0"/>
          <w:color w:val="000000"/>
          <w:spacing w:val="17"/>
        </w:rPr>
        <w:t>具体评价指标体系详情见附件1</w:t>
      </w:r>
    </w:p>
    <w:p w14:paraId="6A9EED89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3.绩效评价方法</w:t>
      </w:r>
    </w:p>
    <w:p w14:paraId="0D88A175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</w:p>
    <w:p w14:paraId="26005D5B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</w:rPr>
      </w:pPr>
      <w:r>
        <w:rPr>
          <w:rFonts w:eastAsia="仿宋_GB2312"/>
          <w:color w:val="000000"/>
          <w:spacing w:val="17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</w:p>
    <w:p w14:paraId="0511B1FF">
      <w:pPr>
        <w:spacing w:line="560" w:lineRule="exact"/>
        <w:ind w:firstLine="708" w:firstLineChars="200"/>
        <w:rPr>
          <w:rFonts w:eastAsia="仿宋_GB2312"/>
          <w:color w:val="000000"/>
          <w:spacing w:val="17"/>
          <w:sz w:val="32"/>
          <w:szCs w:val="32"/>
          <w:highlight w:val="yellow"/>
        </w:rPr>
      </w:pPr>
      <w:bookmarkStart w:id="1" w:name="OLE_LINK2"/>
      <w:r>
        <w:rPr>
          <w:rFonts w:eastAsia="仿宋_GB2312"/>
          <w:color w:val="000000"/>
          <w:spacing w:val="17"/>
          <w:sz w:val="32"/>
          <w:szCs w:val="32"/>
          <w:highlight w:val="none"/>
        </w:rPr>
        <w:t>（</w:t>
      </w:r>
      <w:r>
        <w:rPr>
          <w:rFonts w:hint="eastAsia" w:eastAsia="仿宋_GB2312"/>
          <w:color w:val="000000"/>
          <w:spacing w:val="17"/>
          <w:sz w:val="32"/>
          <w:szCs w:val="32"/>
          <w:highlight w:val="none"/>
          <w:lang w:eastAsia="zh-CN"/>
        </w:rPr>
        <w:t>一</w:t>
      </w:r>
      <w:r>
        <w:rPr>
          <w:rFonts w:eastAsia="仿宋_GB2312"/>
          <w:color w:val="000000"/>
          <w:spacing w:val="17"/>
          <w:sz w:val="32"/>
          <w:szCs w:val="32"/>
          <w:highlight w:val="none"/>
        </w:rPr>
        <w:t>）因素分析法。</w:t>
      </w:r>
      <w:r>
        <w:rPr>
          <w:rFonts w:hint="default" w:ascii="Times New Roman" w:hAnsi="Times New Roman" w:eastAsia="仿宋_GB2312" w:cs="Times New Roman"/>
          <w:color w:val="000000"/>
          <w:spacing w:val="17"/>
          <w:sz w:val="32"/>
          <w:szCs w:val="32"/>
        </w:rPr>
        <w:t>是指综合分析影响绩效目标实现、实施效果的内外部因素的方法。</w:t>
      </w:r>
      <w:r>
        <w:rPr>
          <w:rFonts w:hint="eastAsia" w:eastAsia="仿宋_GB2312" w:cs="Times New Roman"/>
          <w:color w:val="000000"/>
          <w:spacing w:val="17"/>
          <w:sz w:val="32"/>
          <w:szCs w:val="32"/>
          <w:lang w:val="en-US" w:eastAsia="zh-CN"/>
        </w:rPr>
        <w:t>主要是可以深入分析经济现象或结果背后的原因，明确哪些因素对特定变量产生影响，以及影响的方向和程度，帮助研究或决策者理解事物发展变化的内在机制。</w:t>
      </w:r>
      <w:bookmarkEnd w:id="1"/>
    </w:p>
    <w:p w14:paraId="7703FC91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4</w:t>
      </w:r>
      <w:r>
        <w:rPr>
          <w:rFonts w:ascii="Times New Roman" w:hAnsi="Times New Roman" w:eastAsia="仿宋_GB2312"/>
        </w:rPr>
        <w:t>.</w:t>
      </w:r>
      <w:r>
        <w:rPr>
          <w:rFonts w:ascii="Times New Roman" w:hAnsi="Times New Roman" w:eastAsia="仿宋_GB2312"/>
          <w:b w:val="0"/>
          <w:bCs w:val="0"/>
        </w:rPr>
        <w:t>评价标准</w:t>
      </w:r>
    </w:p>
    <w:p w14:paraId="42E95347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绩效评价标准通常包括计划标准、行业标准、历史标准等，用于对绩效指标完成情况进行比较、分析、评价。本次评价主要采用了</w:t>
      </w:r>
      <w:r>
        <w:rPr>
          <w:rFonts w:hint="eastAsia" w:ascii="Times New Roman" w:hAnsi="Times New Roman" w:eastAsia="仿宋_GB2312"/>
          <w:b w:val="0"/>
          <w:bCs w:val="0"/>
        </w:rPr>
        <w:t>计划</w:t>
      </w:r>
      <w:r>
        <w:rPr>
          <w:rFonts w:ascii="Times New Roman" w:hAnsi="Times New Roman" w:eastAsia="仿宋_GB2312"/>
          <w:b w:val="0"/>
          <w:bCs w:val="0"/>
        </w:rPr>
        <w:t>标准。</w:t>
      </w:r>
    </w:p>
    <w:p w14:paraId="4E4F2640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</w:rPr>
      </w:pPr>
      <w:r>
        <w:rPr>
          <w:rFonts w:ascii="Times New Roman" w:hAnsi="Times New Roman" w:eastAsia="仿宋_GB2312"/>
          <w:b w:val="0"/>
          <w:bCs w:val="0"/>
        </w:rPr>
        <w:t>（1）计划标准。指以预先制定的目标、计划、预算、定额等作为评价标准。</w:t>
      </w:r>
    </w:p>
    <w:p w14:paraId="7F1F576B">
      <w:pPr>
        <w:pStyle w:val="10"/>
        <w:numPr>
          <w:ilvl w:val="0"/>
          <w:numId w:val="2"/>
        </w:numPr>
        <w:spacing w:before="0" w:after="0" w:line="560" w:lineRule="exact"/>
        <w:ind w:firstLine="711" w:firstLineChars="200"/>
        <w:jc w:val="both"/>
        <w:rPr>
          <w:rFonts w:ascii="Times New Roman" w:hAnsi="Times New Roman" w:eastAsia="楷体"/>
          <w:color w:val="000000"/>
          <w:spacing w:val="17"/>
        </w:rPr>
      </w:pPr>
      <w:r>
        <w:rPr>
          <w:rFonts w:ascii="Times New Roman" w:hAnsi="Times New Roman" w:eastAsia="楷体"/>
          <w:color w:val="000000"/>
          <w:spacing w:val="17"/>
        </w:rPr>
        <w:t>绩效评价工作过程</w:t>
      </w:r>
    </w:p>
    <w:p w14:paraId="661B81A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（1）前期准备与规划</w:t>
      </w:r>
    </w:p>
    <w:p w14:paraId="0D86E58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项目绩效评价工作启动之初，成立了专门的评价工作小组，小组成员由财务专家、项目管理专业人员及相关领域技术骨干组成，确保从多角度、全方位对项目绩效进行评价。同时，明确了评价工作的目标、范围、重点及时间安排，制定了详细的工作计划，为评价工作的顺利开展奠定了坚实基础。</w:t>
      </w:r>
    </w:p>
    <w:p w14:paraId="2633CA4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（2）指标体系构建</w:t>
      </w:r>
    </w:p>
    <w:p w14:paraId="6E6904B1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依据项目的性质、目标以及预期成果，构建了科学合理的绩效评价指标体系。该指标体系涵盖了</w:t>
      </w:r>
      <w:r>
        <w:rPr>
          <w:rFonts w:eastAsia="仿宋_GB2312"/>
          <w:color w:val="000000"/>
          <w:spacing w:val="17"/>
          <w:sz w:val="32"/>
          <w:szCs w:val="32"/>
        </w:rPr>
        <w:t>项目决策、项目过程、项目产出、项目效益四个维度</w:t>
      </w:r>
      <w:r>
        <w:rPr>
          <w:rFonts w:eastAsia="仿宋_GB2312"/>
          <w:sz w:val="32"/>
          <w:szCs w:val="32"/>
        </w:rPr>
        <w:t>，选取了具有代表性和可衡量性的关键指标，并为每个指标设定了明确的评价标准与权重，确保评价结果能够全面、准确地反映项目的绩效状况。</w:t>
      </w:r>
    </w:p>
    <w:p w14:paraId="4D68CB9C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（3）数据收集与整理</w:t>
      </w:r>
    </w:p>
    <w:p w14:paraId="53835142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广泛收集与项目相关的各类数据，包括财务报表、项目文档、业务数据、用户反馈等。在数据收集过程中，注重数据的质量与完整性，对缺失或异常的数据进行了合理的处理和补充。随后，对收集到的数据进行了系统的整理与分类，为后续的数据分析提供了有力支持。</w:t>
      </w:r>
    </w:p>
    <w:p w14:paraId="67F7219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（4）数据分析与评估</w:t>
      </w:r>
    </w:p>
    <w:p w14:paraId="0CD7FE4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对收集到的数据进行了深入挖掘与分析。通过对各项绩效指标的实际完成情况与预期目标进行对比，计算出指标的达成率，并结合指标权重进行综合评分，从而得出项目的整体绩效评价结果。在分析过程中，注重数据之间的关联性与逻辑性，深入剖析项目绩效背后的原因，识别出项目实施过程中的优势与不足，为提出有针对性的改进建议提供了依据。</w:t>
      </w:r>
    </w:p>
    <w:p w14:paraId="4FF4B4C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（5）报告撰写与反馈</w:t>
      </w:r>
    </w:p>
    <w:p w14:paraId="493E288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数据分析与评估的结果，按照统一的格式和规范撰写项目预算绩效评价报告。报告内容包括项目背景、评价目的、评价指标体系、数据收集与分析方法、绩效评价结果、存在问题与改进建议等多个部分，力求条理清晰、重点突出、语言简洁明了。在报告撰写完成后，及时向项目实施主体及相关利益相关者进行反馈，充分听取各方意见与建议，对报告内容进行进一步的完善与优化，确保评价报告的质量与实用性。</w:t>
      </w:r>
    </w:p>
    <w:p w14:paraId="160B9EB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（6）后续跟踪与改进</w:t>
      </w:r>
    </w:p>
    <w:p w14:paraId="3FE2F2E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评价报告提交后，我们将持续跟踪项目的改进措施落实情况，定期对项目绩效进行复查与评估，确保项目能够根据评价结果及时调整与优化，实现绩效的持续提升。同时，根据项目实施过程中出现的新情况、新问题，适时调整绩效评价指标体系与方法，保持评价工作的适应性与前瞻性，为项目的长期稳定发展提供有力保障。</w:t>
      </w:r>
    </w:p>
    <w:p w14:paraId="5E7F76FF">
      <w:pPr>
        <w:numPr>
          <w:ilvl w:val="0"/>
          <w:numId w:val="3"/>
        </w:num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综合评价情况及评价结论（附相关评分表）</w:t>
      </w:r>
    </w:p>
    <w:p w14:paraId="436DF715">
      <w:pPr>
        <w:pStyle w:val="10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（一）评价情况</w:t>
      </w:r>
    </w:p>
    <w:p w14:paraId="6AC4A219">
      <w:pPr>
        <w:pStyle w:val="9"/>
        <w:widowControl/>
        <w:spacing w:beforeAutospacing="0" w:afterAutospacing="0"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本项目的综合评价基于对项目各方面绩效的深入分析与评估。从项目目标的达成情况来看，</w:t>
      </w:r>
      <w:r>
        <w:rPr>
          <w:rFonts w:hint="eastAsia" w:eastAsia="仿宋_GB2312"/>
          <w:sz w:val="32"/>
          <w:szCs w:val="32"/>
        </w:rPr>
        <w:t>专项业务费</w:t>
      </w:r>
      <w:r>
        <w:rPr>
          <w:rFonts w:eastAsia="仿宋_GB2312"/>
          <w:sz w:val="32"/>
          <w:szCs w:val="32"/>
        </w:rPr>
        <w:t>在</w:t>
      </w:r>
      <w:r>
        <w:rPr>
          <w:rFonts w:hint="eastAsia" w:eastAsia="仿宋_GB2312"/>
          <w:sz w:val="32"/>
          <w:szCs w:val="32"/>
        </w:rPr>
        <w:t>社会效益指标保障办公室各项工作顺利开展</w:t>
      </w:r>
      <w:r>
        <w:rPr>
          <w:rFonts w:eastAsia="仿宋_GB2312"/>
          <w:sz w:val="32"/>
          <w:szCs w:val="32"/>
        </w:rPr>
        <w:t>等方面表现出色，达到了预期的标准与要求。同时，项目也在取得了显著的成效，</w:t>
      </w:r>
      <w:r>
        <w:rPr>
          <w:rFonts w:hint="eastAsia" w:ascii="仿宋_GB2312" w:eastAsia="仿宋_GB2312"/>
          <w:sz w:val="32"/>
          <w:szCs w:val="32"/>
        </w:rPr>
        <w:t>如</w:t>
      </w:r>
      <w:r>
        <w:rPr>
          <w:rFonts w:hint="eastAsia" w:ascii="仿宋_GB2312" w:hAnsi="宋体" w:eastAsia="仿宋_GB2312" w:cs="宋体"/>
          <w:color w:val="333333"/>
          <w:sz w:val="32"/>
          <w:szCs w:val="32"/>
        </w:rPr>
        <w:t>履行综合协调、信息服务、参谋助手、督查落实等功能</w:t>
      </w:r>
      <w:r>
        <w:rPr>
          <w:rFonts w:hint="eastAsia" w:ascii="仿宋_GB2312" w:eastAsia="仿宋_GB2312"/>
          <w:sz w:val="32"/>
          <w:szCs w:val="32"/>
        </w:rPr>
        <w:t>等。</w:t>
      </w:r>
    </w:p>
    <w:p w14:paraId="0FF08031">
      <w:pPr>
        <w:pStyle w:val="9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在项目管理方面，</w:t>
      </w:r>
      <w:r>
        <w:rPr>
          <w:rFonts w:hint="eastAsia" w:eastAsia="仿宋_GB2312"/>
          <w:sz w:val="32"/>
          <w:szCs w:val="32"/>
        </w:rPr>
        <w:t>中共特克斯县委员会办公室</w:t>
      </w:r>
      <w:r>
        <w:rPr>
          <w:rFonts w:eastAsia="仿宋_GB2312"/>
          <w:sz w:val="32"/>
          <w:szCs w:val="32"/>
        </w:rPr>
        <w:t>通过有效的规划、组织与协调，项目得以顺利实施，并在预算与时间上保持了良好的控制。</w:t>
      </w:r>
    </w:p>
    <w:p w14:paraId="7773AA08">
      <w:pPr>
        <w:pStyle w:val="9"/>
        <w:widowControl/>
        <w:spacing w:beforeAutospacing="0" w:afterAutospacing="0"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从项目效益的角度来看，本项目不仅实现了预期的社会效益等方面产生了积极的影响。具体而言，</w:t>
      </w:r>
      <w:r>
        <w:rPr>
          <w:rFonts w:hint="eastAsia" w:eastAsia="仿宋_GB2312"/>
          <w:sz w:val="32"/>
          <w:szCs w:val="32"/>
        </w:rPr>
        <w:t>办公室</w:t>
      </w:r>
      <w:r>
        <w:rPr>
          <w:rFonts w:hint="eastAsia" w:ascii="仿宋_GB2312" w:hAnsi="宋体" w:eastAsia="仿宋_GB2312" w:cs="宋体"/>
          <w:color w:val="333333"/>
          <w:sz w:val="32"/>
          <w:szCs w:val="32"/>
        </w:rPr>
        <w:t>履行综合协调、信息服务、参谋助手、督查落实</w:t>
      </w:r>
      <w:r>
        <w:rPr>
          <w:rFonts w:eastAsia="仿宋_GB2312"/>
          <w:sz w:val="32"/>
          <w:szCs w:val="32"/>
        </w:rPr>
        <w:t>等方面的提升，为项目的利益相关者带来了实实在在的利益。</w:t>
      </w:r>
    </w:p>
    <w:p w14:paraId="3ABD0CCE">
      <w:pPr>
        <w:pStyle w:val="9"/>
        <w:widowControl/>
        <w:spacing w:beforeAutospacing="0" w:afterAutospacing="0" w:line="560" w:lineRule="exact"/>
        <w:ind w:firstLine="640" w:firstLineChars="200"/>
      </w:pPr>
      <w:r>
        <w:rPr>
          <w:rFonts w:eastAsia="仿宋_GB2312"/>
          <w:sz w:val="32"/>
          <w:szCs w:val="32"/>
        </w:rPr>
        <w:t>综上所述，</w:t>
      </w:r>
      <w:r>
        <w:rPr>
          <w:rFonts w:hint="eastAsia" w:eastAsia="仿宋_GB2312"/>
          <w:sz w:val="32"/>
          <w:szCs w:val="32"/>
        </w:rPr>
        <w:t>专项业务费</w:t>
      </w:r>
      <w:r>
        <w:rPr>
          <w:rFonts w:eastAsia="仿宋_GB2312"/>
          <w:sz w:val="32"/>
          <w:szCs w:val="32"/>
        </w:rPr>
        <w:t>在绩效评价中表现出色，达到了项目的预期目标，并在多个方面取得了显著的成效。</w:t>
      </w:r>
    </w:p>
    <w:p w14:paraId="5F72F1CF">
      <w:pPr>
        <w:pStyle w:val="10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（二）评价结论</w:t>
      </w:r>
    </w:p>
    <w:p w14:paraId="6AD20458">
      <w:pPr>
        <w:pStyle w:val="10"/>
        <w:widowControl w:val="0"/>
        <w:spacing w:before="0" w:after="0" w:line="560" w:lineRule="exact"/>
        <w:ind w:firstLine="640" w:firstLineChars="200"/>
        <w:jc w:val="both"/>
        <w:outlineLvl w:val="9"/>
        <w:rPr>
          <w:rFonts w:ascii="Times New Roman" w:hAnsi="Times New Roman" w:eastAsia="仿宋_GB2312"/>
          <w:b w:val="0"/>
          <w:bCs w:val="0"/>
          <w:highlight w:val="none"/>
        </w:rPr>
      </w:pPr>
      <w:r>
        <w:rPr>
          <w:rFonts w:ascii="Times New Roman" w:hAnsi="Times New Roman" w:eastAsia="仿宋_GB2312"/>
          <w:b w:val="0"/>
          <w:bCs w:val="0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总得分为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98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分，属于“优”。其中，项目决策类指标权重为20分，得分为20分，得分率为 100%。项目过程类指标权重为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分，得分为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90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%。项目产出类指标权重为40分，得分为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 xml:space="preserve">分，得分率为 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  <w:lang w:val="en-US" w:eastAsia="zh-CN"/>
        </w:rPr>
        <w:t>100</w:t>
      </w:r>
      <w:r>
        <w:rPr>
          <w:rFonts w:hint="eastAsia" w:ascii="仿宋_GB2312" w:hAnsi="仿宋_GB2312" w:eastAsia="仿宋_GB2312" w:cs="仿宋_GB2312"/>
          <w:b w:val="0"/>
          <w:bCs w:val="0"/>
          <w:highlight w:val="none"/>
        </w:rPr>
        <w:t>%。项目效益类指标权重为20分，得分为20分，得分率为100%。具体打分情况详见：附件1综合评分表。</w:t>
      </w:r>
    </w:p>
    <w:p w14:paraId="449421A0">
      <w:pPr>
        <w:pStyle w:val="10"/>
        <w:spacing w:before="0" w:after="0"/>
        <w:rPr>
          <w:rFonts w:ascii="Times New Roman" w:hAnsi="Times New Roman" w:eastAsia="仿宋_GB2312"/>
          <w:sz w:val="21"/>
          <w:szCs w:val="21"/>
        </w:rPr>
      </w:pPr>
      <w:r>
        <w:rPr>
          <w:rFonts w:ascii="Times New Roman" w:hAnsi="Times New Roman" w:eastAsia="仿宋_GB2312"/>
          <w:sz w:val="21"/>
          <w:szCs w:val="21"/>
        </w:rPr>
        <w:t>表1综合评分表</w:t>
      </w:r>
    </w:p>
    <w:tbl>
      <w:tblPr>
        <w:tblStyle w:val="13"/>
        <w:tblW w:w="758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37"/>
        <w:gridCol w:w="2168"/>
        <w:gridCol w:w="2278"/>
      </w:tblGrid>
      <w:tr w14:paraId="21DD5E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Header/>
          <w:jc w:val="center"/>
        </w:trPr>
        <w:tc>
          <w:tcPr>
            <w:tcW w:w="31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6FFDC7D9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一级指标</w:t>
            </w:r>
          </w:p>
        </w:tc>
        <w:tc>
          <w:tcPr>
            <w:tcW w:w="21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7E1472B1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权重分</w:t>
            </w:r>
          </w:p>
        </w:tc>
        <w:tc>
          <w:tcPr>
            <w:tcW w:w="22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BEBEBE"/>
            <w:vAlign w:val="center"/>
          </w:tcPr>
          <w:p w14:paraId="1FC7A029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得分</w:t>
            </w:r>
          </w:p>
        </w:tc>
      </w:tr>
      <w:tr w14:paraId="59D6C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1C92121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项目决策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0AF5DD9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C329084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20</w:t>
            </w:r>
          </w:p>
        </w:tc>
      </w:tr>
      <w:tr w14:paraId="6ACEB99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F58B1A6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项目过程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F32238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CA3A2B5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18</w:t>
            </w:r>
          </w:p>
        </w:tc>
      </w:tr>
      <w:tr w14:paraId="43DA78F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E335D35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项目产出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35CE40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40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1AF4C6">
            <w:pPr>
              <w:jc w:val="center"/>
              <w:rPr>
                <w:rFonts w:hint="default" w:eastAsia="仿宋_GB2312"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color w:val="000000"/>
                <w:szCs w:val="21"/>
                <w:lang w:val="en-US" w:eastAsia="zh-CN"/>
              </w:rPr>
              <w:t>40</w:t>
            </w:r>
          </w:p>
        </w:tc>
      </w:tr>
      <w:tr w14:paraId="3EB78BD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38AE98D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项目效益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7DA78C5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20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0002960">
            <w:pPr>
              <w:jc w:val="center"/>
              <w:rPr>
                <w:rFonts w:eastAsia="仿宋_GB2312"/>
                <w:color w:val="000000"/>
                <w:szCs w:val="21"/>
              </w:rPr>
            </w:pPr>
            <w:r>
              <w:rPr>
                <w:rFonts w:hint="eastAsia" w:eastAsia="仿宋_GB2312"/>
                <w:color w:val="000000"/>
                <w:szCs w:val="21"/>
              </w:rPr>
              <w:t>20</w:t>
            </w:r>
          </w:p>
        </w:tc>
      </w:tr>
      <w:tr w14:paraId="27BC5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31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C7CBC9F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合计</w:t>
            </w:r>
          </w:p>
        </w:tc>
        <w:tc>
          <w:tcPr>
            <w:tcW w:w="21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98A94A">
            <w:pPr>
              <w:jc w:val="center"/>
              <w:rPr>
                <w:rFonts w:eastAsia="仿宋_GB2312"/>
                <w:b/>
                <w:bCs/>
                <w:color w:val="000000"/>
                <w:szCs w:val="21"/>
              </w:rPr>
            </w:pPr>
            <w:r>
              <w:rPr>
                <w:rFonts w:eastAsia="仿宋_GB2312"/>
                <w:b/>
                <w:bCs/>
                <w:color w:val="000000"/>
                <w:szCs w:val="21"/>
              </w:rPr>
              <w:t>100</w:t>
            </w:r>
          </w:p>
        </w:tc>
        <w:tc>
          <w:tcPr>
            <w:tcW w:w="227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5D2203">
            <w:pPr>
              <w:jc w:val="center"/>
              <w:rPr>
                <w:rFonts w:hint="default" w:eastAsia="仿宋_GB2312"/>
                <w:b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eastAsia="仿宋_GB2312"/>
                <w:b/>
                <w:bCs/>
                <w:color w:val="000000"/>
                <w:szCs w:val="21"/>
                <w:lang w:val="en-US" w:eastAsia="zh-CN"/>
              </w:rPr>
              <w:t>98</w:t>
            </w:r>
          </w:p>
        </w:tc>
      </w:tr>
    </w:tbl>
    <w:p w14:paraId="70BB77DA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四、绩效评价指标分析</w:t>
      </w:r>
    </w:p>
    <w:p w14:paraId="1D6973A9">
      <w:pPr>
        <w:pStyle w:val="10"/>
        <w:spacing w:before="0" w:after="0" w:line="560" w:lineRule="exact"/>
        <w:ind w:firstLine="643" w:firstLineChars="200"/>
        <w:jc w:val="both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（一）项目决策情况</w:t>
      </w:r>
    </w:p>
    <w:p w14:paraId="66CEE30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项目决策类指标包括项目立项、绩效目标和资金投入三方面的内容，由6个三级指标构成，权重分值为20分，实际得分</w:t>
      </w:r>
      <w:r>
        <w:rPr>
          <w:rFonts w:hint="eastAsia"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%。</w:t>
      </w:r>
    </w:p>
    <w:p w14:paraId="0C86095D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1.项目立项</w:t>
      </w:r>
    </w:p>
    <w:p w14:paraId="4E5ED94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（1）立项依据充分性</w:t>
      </w:r>
    </w:p>
    <w:p w14:paraId="6AAD380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</w:p>
    <w:p w14:paraId="6404AE6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（2）立项程序规范性</w:t>
      </w:r>
    </w:p>
    <w:p w14:paraId="61D36B4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</w:p>
    <w:p w14:paraId="51C4C796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2.绩效目标</w:t>
      </w:r>
    </w:p>
    <w:p w14:paraId="5E1079C1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（1）绩效目标合理性</w:t>
      </w:r>
    </w:p>
    <w:p w14:paraId="05346FA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</w:p>
    <w:p w14:paraId="5657892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（2）绩效指标明确性</w:t>
      </w:r>
    </w:p>
    <w:p w14:paraId="3D6AE1D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</w:p>
    <w:p w14:paraId="098765C3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3.资金投入</w:t>
      </w:r>
    </w:p>
    <w:p w14:paraId="380D18A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（1）预算编制科学性</w:t>
      </w:r>
    </w:p>
    <w:p w14:paraId="7D74FB64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预算编制过程严谨、科学，充分体现了精细化管理的要求。预算编制之初，进行了全面的成本估算，确保项目所需的各项资源得到合理的预估与分配。同时，预算编制还紧密结合了项目的特点与实际情况，对不同阶段、不同任务的资金需求进行了详细的分析与计算。</w:t>
      </w:r>
    </w:p>
    <w:p w14:paraId="64A1644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预算编制过程中，还注重了成本控制与效益最大化的原则。通过优化资源配置、提高资金使用效率等措施，确保项目在有限的预算内取得最大的经济效益与社会效益。此外，预算编制还充分考虑了风险因素，对可能出现的超支情况进行了预留与规划，以应对项目实施过程中的不确定性。</w:t>
      </w:r>
    </w:p>
    <w:p w14:paraId="3CBE000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（2）资金分配合理性</w:t>
      </w:r>
    </w:p>
    <w:p w14:paraId="21577DF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本项目的资金分配遵循了公平、公正、透明的原则，确保了项目资源的合理配置与高效利用。在资金分配过程中，我们充分考虑了项目的实际需求与目标，对不同阶段、不同任务的资金进行了科学的规划与安排。</w:t>
      </w:r>
    </w:p>
    <w:p w14:paraId="31407DC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体而言，资金分配紧密结合了项目的特点与实际情况，对关键领域与重要环节给予了重点支持。同时，我们也注重了资金的均衡分配，避免了资源浪费与资金闲置。此外，资金分配还充分考虑了风险因素，对可能出现的超支情况进行了预留与调整。</w:t>
      </w:r>
    </w:p>
    <w:p w14:paraId="37A6C298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综上所述，本项目的资金分配是合理的、科学的，既符合项目的实际情况，又满足了资金使用的效益最大化要求。资金分配的合理性为项目的成功实施提供了有力的保障，也为项目的绩效评价奠定了坚实的基础。</w:t>
      </w:r>
    </w:p>
    <w:p w14:paraId="327D5D29">
      <w:pPr>
        <w:pStyle w:val="10"/>
        <w:numPr>
          <w:ilvl w:val="0"/>
          <w:numId w:val="4"/>
        </w:numPr>
        <w:spacing w:before="0" w:after="0" w:line="560" w:lineRule="exact"/>
        <w:ind w:firstLine="643" w:firstLineChars="200"/>
        <w:jc w:val="both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项目过程情况</w:t>
      </w:r>
    </w:p>
    <w:p w14:paraId="6BAB4A2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项目过程类指标包括资金管理和组织实施两方面的内容，由5个三级指标构成，权重分值为20分，实际得分</w:t>
      </w:r>
      <w:r>
        <w:rPr>
          <w:rFonts w:hint="eastAsia"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90</w:t>
      </w:r>
      <w:r>
        <w:rPr>
          <w:rFonts w:eastAsia="仿宋_GB2312"/>
          <w:sz w:val="32"/>
          <w:szCs w:val="32"/>
        </w:rPr>
        <w:t>%。</w:t>
      </w:r>
    </w:p>
    <w:p w14:paraId="428AF36D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1.资金管理</w:t>
      </w:r>
    </w:p>
    <w:p w14:paraId="2297D911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（1）资金到位率</w:t>
      </w:r>
    </w:p>
    <w:p w14:paraId="121C949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本项目总投资</w:t>
      </w:r>
      <w:r>
        <w:rPr>
          <w:rFonts w:hint="eastAsia" w:eastAsia="仿宋_GB2312"/>
          <w:sz w:val="32"/>
          <w:szCs w:val="32"/>
        </w:rPr>
        <w:t>50</w:t>
      </w:r>
      <w:r>
        <w:rPr>
          <w:rFonts w:eastAsia="仿宋_GB2312"/>
          <w:sz w:val="32"/>
          <w:szCs w:val="32"/>
        </w:rPr>
        <w:t>万元，财政资金到位</w:t>
      </w:r>
      <w:r>
        <w:rPr>
          <w:rFonts w:hint="eastAsia" w:eastAsia="仿宋_GB2312"/>
          <w:sz w:val="32"/>
          <w:szCs w:val="32"/>
        </w:rPr>
        <w:t>40.08万元</w:t>
      </w:r>
      <w:r>
        <w:rPr>
          <w:rFonts w:eastAsia="仿宋_GB2312"/>
          <w:sz w:val="32"/>
          <w:szCs w:val="32"/>
        </w:rPr>
        <w:t>，到位率</w:t>
      </w:r>
      <w:r>
        <w:rPr>
          <w:rFonts w:hint="eastAsia" w:eastAsia="仿宋_GB2312"/>
          <w:sz w:val="32"/>
          <w:szCs w:val="32"/>
        </w:rPr>
        <w:t>80.16</w:t>
      </w:r>
      <w:r>
        <w:rPr>
          <w:rFonts w:eastAsia="仿宋_GB2312"/>
          <w:sz w:val="32"/>
          <w:szCs w:val="32"/>
        </w:rPr>
        <w:t>%，预算资金按计划进度执行。</w:t>
      </w:r>
    </w:p>
    <w:p w14:paraId="6204A14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（2）预算执行率</w:t>
      </w:r>
    </w:p>
    <w:p w14:paraId="3024764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预算编制较为详细，项目资金支出总体能够按照预算执行，预算资金支出</w:t>
      </w:r>
      <w:r>
        <w:rPr>
          <w:rFonts w:hint="eastAsia" w:eastAsia="仿宋_GB2312"/>
          <w:sz w:val="32"/>
          <w:szCs w:val="32"/>
        </w:rPr>
        <w:t>40.08</w:t>
      </w:r>
      <w:r>
        <w:rPr>
          <w:rFonts w:eastAsia="仿宋_GB2312"/>
          <w:sz w:val="32"/>
          <w:szCs w:val="32"/>
        </w:rPr>
        <w:t>万元，预算执行率为</w:t>
      </w:r>
      <w:r>
        <w:rPr>
          <w:rFonts w:hint="eastAsia" w:eastAsia="仿宋_GB2312"/>
          <w:sz w:val="32"/>
          <w:szCs w:val="32"/>
        </w:rPr>
        <w:t>80.16</w:t>
      </w:r>
      <w:r>
        <w:rPr>
          <w:rFonts w:eastAsia="仿宋_GB2312"/>
          <w:sz w:val="32"/>
          <w:szCs w:val="32"/>
        </w:rPr>
        <w:t>%。</w:t>
      </w:r>
    </w:p>
    <w:p w14:paraId="2AE68749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（3）资金使用合规性</w:t>
      </w:r>
    </w:p>
    <w:p w14:paraId="44D3AB7A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本项目的资金使用严格遵循了国家相关法律法规与财务制度，确保了资金的合规性与安全性。在资金使用过程中，我们建立了完善的财务管理体系，对资金的流动进行了全程监控与记录。</w:t>
      </w:r>
    </w:p>
    <w:p w14:paraId="644AB7C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具体而言，资金使用坚持了专款专用的原则，确保了项目资金不被挪用或截留。同时，我们还加强了对资金使用的审计与监督，定期对财务收支进行自查与自纠，及时发现并纠正可能存在的问题。此外，资金使用还充分考虑了成本效益原则，通过优化资源配置、提高资金使用效率等措施，确保了项目资金的最大化利用。</w:t>
      </w:r>
    </w:p>
    <w:p w14:paraId="706F47C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资金使用是合规的、安全的，既符合国家相关法律法规与财务制度的要求，又满足了项目实施的实际需要。资金使用的合规性为项目的成功实施提供了有力的保障，也为项目的绩效评价奠定了坚实的基础。</w:t>
      </w:r>
    </w:p>
    <w:p w14:paraId="52361B23">
      <w:pPr>
        <w:pStyle w:val="21"/>
        <w:spacing w:line="560" w:lineRule="exact"/>
        <w:ind w:firstLine="640"/>
        <w:rPr>
          <w:rFonts w:eastAsia="仿宋_GB2312"/>
          <w:b/>
          <w:bCs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2.组织实施</w:t>
      </w:r>
    </w:p>
    <w:p w14:paraId="41BCB23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（1）管理制度健全性</w:t>
      </w:r>
    </w:p>
    <w:p w14:paraId="1EFB545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本项目拥有一套完善、健全的管理制度体系，为项目的成功实施提供了坚实的制度保障。项目管理制度的制定紧密结合了项目的特点与实际情况，涵盖了项目的策划、组织、实施、监控与收尾等各个环节。</w:t>
      </w:r>
    </w:p>
    <w:p w14:paraId="48E5DD2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在制度设计上，我们注重了制度的科学性与可操作性，确保制度能够切实指导项目的执行与管理。</w:t>
      </w:r>
    </w:p>
    <w:p w14:paraId="7D7DC06D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此外，项目管理制度还充分考虑了风险因素，制定了相应的风险应对措施与预案，以应对项目实施过程中可能出现的各种风险与挑战。管理制度的健全性不仅体现在制度的完善上，还体现在制度的执行与监督上。我们建立了有效的监督机制与反馈机制，对项目的实施情况进行定期检查与评估，及时发现并纠正可能存在的问题。</w:t>
      </w:r>
    </w:p>
    <w:p w14:paraId="1EBCF830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综上所述，本项目的管理制度是健全的、有效的，既符合项目的实际情况，又满足了项目管理的需要。管理制度的健全性为项目的成功实施提供了有力的保障，也为项目的绩效评价奠定了坚实的基础。</w:t>
      </w:r>
    </w:p>
    <w:p w14:paraId="61D1BB6D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（2）制度执行有效性</w:t>
      </w:r>
    </w:p>
    <w:p w14:paraId="3FDB6399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项目在执行过程中，管理制度得到了全面、有效的落实，为确保项目的顺利实施与目标实现提供了坚实的保障。项目单位重视制度执行的重要性，通过明确责任分工、制定详细执行计划、加强监督考核等措施，确保了各项管理制度能够得到有效执行。</w:t>
      </w:r>
    </w:p>
    <w:p w14:paraId="76413FA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在具体执行过程中，项目团队成员严格按照制度要求进行操作。同时，我们还建立了有效的沟通机制与反馈机制，确保项目信息的及时传递与问题的及时解决，进一步提高了制度执行的效率与效果。</w:t>
      </w:r>
    </w:p>
    <w:p w14:paraId="682ABAA6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综上所述，本项目的管理制度在执行过程中表现出了高度的有效性，既确保了项目的顺利进行，又实现了项目目标的有效达成。</w:t>
      </w:r>
    </w:p>
    <w:p w14:paraId="50373200">
      <w:pPr>
        <w:pStyle w:val="11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项目产出情况</w:t>
      </w:r>
    </w:p>
    <w:p w14:paraId="06183E5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项目产出类指标包括产出数量、产出质量、产出时效、产出成本四方面的内容，由</w:t>
      </w:r>
      <w:r>
        <w:rPr>
          <w:rFonts w:hint="eastAsia"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个三级指标构成，权重分为</w:t>
      </w:r>
      <w:r>
        <w:rPr>
          <w:rFonts w:hint="eastAsia" w:eastAsia="仿宋_GB2312"/>
          <w:sz w:val="32"/>
          <w:szCs w:val="32"/>
          <w:lang w:val="en-US" w:eastAsia="zh-CN"/>
        </w:rPr>
        <w:t>40</w:t>
      </w:r>
      <w:r>
        <w:rPr>
          <w:rFonts w:eastAsia="仿宋_GB2312"/>
          <w:sz w:val="32"/>
          <w:szCs w:val="32"/>
        </w:rPr>
        <w:t>分，实际得分</w:t>
      </w:r>
      <w:r>
        <w:rPr>
          <w:rFonts w:hint="eastAsia" w:eastAsia="仿宋_GB2312"/>
          <w:sz w:val="32"/>
          <w:szCs w:val="32"/>
          <w:lang w:val="en-US" w:eastAsia="zh-CN"/>
        </w:rPr>
        <w:t>40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  <w:lang w:val="en-US" w:eastAsia="zh-CN"/>
        </w:rPr>
        <w:t>100</w:t>
      </w:r>
      <w:r>
        <w:rPr>
          <w:rFonts w:eastAsia="仿宋_GB2312"/>
          <w:sz w:val="32"/>
          <w:szCs w:val="32"/>
        </w:rPr>
        <w:t>%。具体产出指标完成情况如下：</w:t>
      </w:r>
    </w:p>
    <w:p w14:paraId="17A52DA5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1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①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数量指标：</w:t>
      </w:r>
    </w:p>
    <w:p w14:paraId="1864B7A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eastAsia="仿宋_GB2312"/>
          <w:sz w:val="32"/>
          <w:szCs w:val="32"/>
        </w:rPr>
        <w:t>保障单位个数</w:t>
      </w:r>
      <w:r>
        <w:rPr>
          <w:rFonts w:eastAsia="仿宋_GB2312"/>
          <w:sz w:val="32"/>
          <w:szCs w:val="32"/>
        </w:rPr>
        <w:t xml:space="preserve">，指标值： </w:t>
      </w:r>
      <w:r>
        <w:rPr>
          <w:rFonts w:hint="eastAsia" w:eastAsia="仿宋_GB2312"/>
          <w:sz w:val="32"/>
          <w:szCs w:val="32"/>
        </w:rPr>
        <w:t>=1个</w:t>
      </w:r>
      <w:r>
        <w:rPr>
          <w:rFonts w:eastAsia="仿宋_GB2312"/>
          <w:sz w:val="32"/>
          <w:szCs w:val="32"/>
        </w:rPr>
        <w:t xml:space="preserve"> ，实际完成值：</w:t>
      </w:r>
      <w:r>
        <w:rPr>
          <w:rFonts w:hint="eastAsia" w:eastAsia="仿宋_GB2312"/>
          <w:sz w:val="32"/>
          <w:szCs w:val="32"/>
        </w:rPr>
        <w:t>1个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464A544C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公务保障用车数量</w:t>
      </w:r>
      <w:r>
        <w:rPr>
          <w:rFonts w:eastAsia="仿宋_GB2312"/>
          <w:sz w:val="32"/>
          <w:szCs w:val="32"/>
        </w:rPr>
        <w:t>，指标值</w:t>
      </w:r>
      <w:r>
        <w:rPr>
          <w:rFonts w:hint="eastAsia" w:eastAsia="仿宋_GB2312"/>
          <w:sz w:val="32"/>
          <w:szCs w:val="32"/>
        </w:rPr>
        <w:t>：</w:t>
      </w:r>
      <w:r>
        <w:rPr>
          <w:rStyle w:val="16"/>
          <w:rFonts w:hint="eastAsia" w:ascii="仿宋_GB2312" w:eastAsia="仿宋_GB2312"/>
          <w:b w:val="0"/>
          <w:sz w:val="32"/>
          <w:szCs w:val="32"/>
        </w:rPr>
        <w:t>≥</w:t>
      </w:r>
      <w:r>
        <w:rPr>
          <w:rFonts w:hint="eastAsia" w:eastAsia="仿宋_GB2312"/>
          <w:sz w:val="32"/>
          <w:szCs w:val="32"/>
        </w:rPr>
        <w:t>7辆</w:t>
      </w:r>
      <w:r>
        <w:rPr>
          <w:rFonts w:eastAsia="仿宋_GB2312"/>
          <w:sz w:val="32"/>
          <w:szCs w:val="32"/>
        </w:rPr>
        <w:t xml:space="preserve"> ，实际完成值</w:t>
      </w:r>
      <w:r>
        <w:rPr>
          <w:rFonts w:hint="eastAsia" w:eastAsia="仿宋_GB2312"/>
          <w:sz w:val="32"/>
          <w:szCs w:val="32"/>
        </w:rPr>
        <w:t>：7辆</w:t>
      </w:r>
      <w:r>
        <w:rPr>
          <w:rFonts w:eastAsia="仿宋_GB2312"/>
          <w:sz w:val="32"/>
          <w:szCs w:val="32"/>
        </w:rPr>
        <w:t>，指标完成率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  <w:r>
        <w:rPr>
          <w:rFonts w:eastAsia="仿宋_GB2312"/>
          <w:sz w:val="32"/>
          <w:szCs w:val="32"/>
        </w:rPr>
        <w:t xml:space="preserve"> </w:t>
      </w:r>
    </w:p>
    <w:p w14:paraId="598E719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</w:t>
      </w:r>
      <w:r>
        <w:rPr>
          <w:rFonts w:hint="eastAsia"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：</w:t>
      </w:r>
      <w:r>
        <w:rPr>
          <w:rFonts w:hint="eastAsia" w:eastAsia="仿宋_GB2312"/>
          <w:sz w:val="32"/>
          <w:szCs w:val="32"/>
        </w:rPr>
        <w:t>保障办公人员数量</w:t>
      </w:r>
      <w:r>
        <w:rPr>
          <w:rFonts w:eastAsia="仿宋_GB2312"/>
          <w:sz w:val="32"/>
          <w:szCs w:val="32"/>
        </w:rPr>
        <w:t>，指标值</w:t>
      </w:r>
      <w:r>
        <w:rPr>
          <w:rFonts w:hint="eastAsia" w:eastAsia="仿宋_GB2312"/>
          <w:sz w:val="32"/>
          <w:szCs w:val="32"/>
        </w:rPr>
        <w:t>：</w:t>
      </w:r>
      <w:r>
        <w:rPr>
          <w:rStyle w:val="16"/>
          <w:rFonts w:hint="eastAsia" w:ascii="仿宋_GB2312" w:eastAsia="仿宋_GB2312"/>
          <w:b w:val="0"/>
          <w:sz w:val="32"/>
          <w:szCs w:val="32"/>
        </w:rPr>
        <w:t>=41人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:41人</w:t>
      </w:r>
      <w:r>
        <w:rPr>
          <w:rFonts w:eastAsia="仿宋_GB2312"/>
          <w:sz w:val="32"/>
          <w:szCs w:val="32"/>
        </w:rPr>
        <w:t>，指标完成率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03AE9A93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2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②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质量指标：</w:t>
      </w:r>
    </w:p>
    <w:p w14:paraId="7477B72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eastAsia="仿宋_GB2312"/>
          <w:sz w:val="32"/>
          <w:szCs w:val="32"/>
        </w:rPr>
        <w:t>专项业务经费支付准确率</w:t>
      </w:r>
      <w:r>
        <w:rPr>
          <w:rFonts w:eastAsia="仿宋_GB2312"/>
          <w:sz w:val="32"/>
          <w:szCs w:val="32"/>
        </w:rPr>
        <w:t>，指标值：=100% ，实际完成值</w:t>
      </w:r>
      <w:r>
        <w:rPr>
          <w:rFonts w:hint="eastAsia" w:eastAsia="仿宋_GB2312"/>
          <w:sz w:val="32"/>
          <w:szCs w:val="32"/>
        </w:rPr>
        <w:t>：100%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4CCF0084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3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③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时效指标：</w:t>
      </w:r>
    </w:p>
    <w:p w14:paraId="09F35112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eastAsia="仿宋_GB2312"/>
          <w:sz w:val="32"/>
          <w:szCs w:val="32"/>
        </w:rPr>
        <w:t>专项业务费支付及时率</w:t>
      </w:r>
      <w:r>
        <w:rPr>
          <w:rFonts w:eastAsia="仿宋_GB2312"/>
          <w:sz w:val="32"/>
          <w:szCs w:val="32"/>
        </w:rPr>
        <w:t>，指标值：=</w:t>
      </w:r>
      <w:r>
        <w:rPr>
          <w:rFonts w:hint="eastAsia" w:eastAsia="仿宋_GB2312"/>
          <w:sz w:val="32"/>
          <w:szCs w:val="32"/>
          <w:lang w:val="en-US" w:eastAsia="zh-CN"/>
        </w:rPr>
        <w:t>98</w:t>
      </w:r>
      <w:r>
        <w:rPr>
          <w:rFonts w:eastAsia="仿宋_GB2312"/>
          <w:sz w:val="32"/>
          <w:szCs w:val="32"/>
        </w:rPr>
        <w:t>% ，实际完成值</w:t>
      </w:r>
      <w:r>
        <w:rPr>
          <w:rFonts w:hint="eastAsia" w:eastAsia="仿宋_GB2312"/>
          <w:sz w:val="32"/>
          <w:szCs w:val="32"/>
        </w:rPr>
        <w:t>：100%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55742DA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fldChar w:fldCharType="begin"/>
      </w:r>
      <w:r>
        <w:rPr>
          <w:rFonts w:eastAsia="仿宋_GB2312"/>
          <w:sz w:val="32"/>
          <w:szCs w:val="32"/>
        </w:rPr>
        <w:instrText xml:space="preserve"> = 4 \* GB3 </w:instrText>
      </w:r>
      <w:r>
        <w:rPr>
          <w:rFonts w:eastAsia="仿宋_GB2312"/>
          <w:sz w:val="32"/>
          <w:szCs w:val="32"/>
        </w:rPr>
        <w:fldChar w:fldCharType="separate"/>
      </w:r>
      <w:r>
        <w:rPr>
          <w:rFonts w:eastAsia="仿宋_GB2312"/>
          <w:sz w:val="32"/>
          <w:szCs w:val="32"/>
        </w:rPr>
        <w:t>④</w:t>
      </w:r>
      <w:r>
        <w:rPr>
          <w:rFonts w:eastAsia="仿宋_GB2312"/>
          <w:sz w:val="32"/>
          <w:szCs w:val="32"/>
        </w:rPr>
        <w:fldChar w:fldCharType="end"/>
      </w:r>
      <w:r>
        <w:rPr>
          <w:rFonts w:eastAsia="仿宋_GB2312"/>
          <w:sz w:val="32"/>
          <w:szCs w:val="32"/>
        </w:rPr>
        <w:t>成本指标：</w:t>
      </w:r>
    </w:p>
    <w:p w14:paraId="59C72EF8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eastAsia="仿宋_GB2312"/>
          <w:sz w:val="32"/>
          <w:szCs w:val="32"/>
        </w:rPr>
        <w:t>人均运转经费</w:t>
      </w:r>
      <w:r>
        <w:rPr>
          <w:rFonts w:eastAsia="仿宋_GB2312"/>
          <w:sz w:val="32"/>
          <w:szCs w:val="32"/>
        </w:rPr>
        <w:t>，指标值：</w:t>
      </w:r>
      <w:r>
        <w:rPr>
          <w:rFonts w:hint="eastAsia" w:ascii="仿宋_GB2312" w:eastAsia="仿宋_GB2312"/>
          <w:sz w:val="32"/>
          <w:szCs w:val="32"/>
        </w:rPr>
        <w:t>≤</w:t>
      </w:r>
      <w:r>
        <w:rPr>
          <w:rFonts w:hint="eastAsia" w:eastAsia="仿宋_GB2312"/>
          <w:sz w:val="32"/>
          <w:szCs w:val="32"/>
        </w:rPr>
        <w:t>1.21万元/人</w:t>
      </w:r>
      <w:r>
        <w:rPr>
          <w:rFonts w:eastAsia="仿宋_GB2312"/>
          <w:sz w:val="32"/>
          <w:szCs w:val="32"/>
        </w:rPr>
        <w:t xml:space="preserve"> ，实际完成值</w:t>
      </w:r>
      <w:r>
        <w:rPr>
          <w:rFonts w:hint="eastAsia" w:eastAsia="仿宋_GB2312"/>
          <w:sz w:val="32"/>
          <w:szCs w:val="32"/>
        </w:rPr>
        <w:t>：0.97万元/人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率80.16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，</w:t>
      </w:r>
      <w:r>
        <w:rPr>
          <w:rFonts w:eastAsia="仿宋_GB2312"/>
          <w:sz w:val="32"/>
          <w:szCs w:val="32"/>
        </w:rPr>
        <w:t>偏差原因：</w:t>
      </w:r>
      <w:r>
        <w:rPr>
          <w:rFonts w:hint="eastAsia" w:eastAsia="仿宋_GB2312"/>
          <w:sz w:val="32"/>
          <w:szCs w:val="32"/>
        </w:rPr>
        <w:t>因下半年电信与联通公司未对账，办公室网络使用费未及时支付。整改措施：下一年度将加强财务与业务部门协同，提高资金支付率，并从高从严设置绩效目标。</w:t>
      </w:r>
    </w:p>
    <w:p w14:paraId="4FF9FDA4">
      <w:pPr>
        <w:pStyle w:val="11"/>
        <w:numPr>
          <w:ilvl w:val="0"/>
          <w:numId w:val="4"/>
        </w:numPr>
        <w:spacing w:line="560" w:lineRule="exact"/>
        <w:ind w:firstLine="643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项目效益情况</w:t>
      </w:r>
    </w:p>
    <w:p w14:paraId="3484A7F6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项目效益类指标包括项目实施效益和满意度两方面的内容，由</w:t>
      </w: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个三级指标构成，权重分为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分，实际得分</w:t>
      </w:r>
      <w:r>
        <w:rPr>
          <w:rFonts w:hint="eastAsia" w:eastAsia="仿宋_GB2312"/>
          <w:sz w:val="32"/>
          <w:szCs w:val="32"/>
          <w:lang w:val="en-US" w:eastAsia="zh-CN"/>
        </w:rPr>
        <w:t>2</w:t>
      </w:r>
      <w:r>
        <w:rPr>
          <w:rFonts w:hint="eastAsia" w:eastAsia="仿宋_GB2312"/>
          <w:sz w:val="32"/>
          <w:szCs w:val="32"/>
        </w:rPr>
        <w:t>0</w:t>
      </w:r>
      <w:r>
        <w:rPr>
          <w:rFonts w:eastAsia="仿宋_GB2312"/>
          <w:sz w:val="32"/>
          <w:szCs w:val="32"/>
        </w:rPr>
        <w:t>分，得分率为</w:t>
      </w:r>
      <w:r>
        <w:rPr>
          <w:rFonts w:hint="eastAsia" w:eastAsia="仿宋_GB2312"/>
          <w:sz w:val="32"/>
          <w:szCs w:val="32"/>
        </w:rPr>
        <w:t>100</w:t>
      </w:r>
      <w:r>
        <w:rPr>
          <w:rFonts w:eastAsia="仿宋_GB2312"/>
          <w:sz w:val="32"/>
          <w:szCs w:val="32"/>
        </w:rPr>
        <w:t>%。具体效益指标及满意度指标完成情况如下：</w:t>
      </w:r>
    </w:p>
    <w:p w14:paraId="16BFE502">
      <w:pPr>
        <w:spacing w:line="600" w:lineRule="exact"/>
        <w:ind w:firstLine="640" w:firstLineChars="200"/>
        <w:outlineLvl w:val="0"/>
        <w:rPr>
          <w:rFonts w:eastAsia="仿宋_GB2312"/>
          <w:color w:val="FF0000"/>
          <w:sz w:val="32"/>
          <w:szCs w:val="32"/>
        </w:rPr>
      </w:pPr>
      <w:r>
        <w:rPr>
          <w:rFonts w:eastAsia="仿宋_GB2312"/>
          <w:sz w:val="32"/>
          <w:szCs w:val="32"/>
        </w:rPr>
        <w:t>1.实施效益</w:t>
      </w:r>
    </w:p>
    <w:p w14:paraId="40A613D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社会效益指标：</w:t>
      </w:r>
    </w:p>
    <w:p w14:paraId="64F9D07D">
      <w:pPr>
        <w:ind w:firstLine="640" w:firstLineChars="2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保障办公室各项工作顺利开展</w:t>
      </w:r>
      <w:r>
        <w:rPr>
          <w:rFonts w:eastAsia="仿宋_GB2312"/>
          <w:sz w:val="32"/>
          <w:szCs w:val="32"/>
        </w:rPr>
        <w:t>，指标值：</w:t>
      </w:r>
      <w:r>
        <w:rPr>
          <w:rFonts w:hint="eastAsia" w:eastAsia="仿宋_GB2312"/>
          <w:sz w:val="32"/>
          <w:szCs w:val="32"/>
        </w:rPr>
        <w:t>有效保障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：有效保障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6DCABE97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2.满意度</w:t>
      </w:r>
    </w:p>
    <w:p w14:paraId="6E50378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满意度指标</w:t>
      </w:r>
    </w:p>
    <w:p w14:paraId="5D4D8EAC">
      <w:pPr>
        <w:ind w:firstLine="640" w:firstLineChars="200"/>
        <w:rPr>
          <w:rFonts w:ascii="宋体" w:hAnsi="宋体" w:cs="宋体"/>
          <w:color w:val="000000"/>
          <w:kern w:val="0"/>
          <w:sz w:val="20"/>
          <w:szCs w:val="20"/>
        </w:rPr>
      </w:pPr>
      <w:r>
        <w:rPr>
          <w:rFonts w:eastAsia="仿宋_GB2312"/>
          <w:sz w:val="32"/>
          <w:szCs w:val="32"/>
        </w:rPr>
        <w:t>指标1：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办公人员满意度</w:t>
      </w:r>
      <w:r>
        <w:rPr>
          <w:rFonts w:eastAsia="仿宋_GB2312"/>
          <w:sz w:val="32"/>
          <w:szCs w:val="32"/>
        </w:rPr>
        <w:t>，指标值：</w:t>
      </w:r>
      <w:r>
        <w:rPr>
          <w:rStyle w:val="16"/>
          <w:rFonts w:hint="eastAsia" w:ascii="仿宋_GB2312" w:eastAsia="仿宋_GB2312"/>
          <w:b w:val="0"/>
          <w:sz w:val="32"/>
          <w:szCs w:val="32"/>
        </w:rPr>
        <w:t>≥</w:t>
      </w:r>
      <w:r>
        <w:rPr>
          <w:rFonts w:hint="eastAsia" w:eastAsia="仿宋_GB2312"/>
          <w:sz w:val="32"/>
          <w:szCs w:val="32"/>
        </w:rPr>
        <w:t>98%</w:t>
      </w:r>
      <w:r>
        <w:rPr>
          <w:rFonts w:eastAsia="仿宋_GB2312"/>
          <w:sz w:val="32"/>
          <w:szCs w:val="32"/>
        </w:rPr>
        <w:t>，实际完成值</w:t>
      </w:r>
      <w:r>
        <w:rPr>
          <w:rFonts w:hint="eastAsia" w:eastAsia="仿宋_GB2312"/>
          <w:sz w:val="32"/>
          <w:szCs w:val="32"/>
        </w:rPr>
        <w:t>：98%</w:t>
      </w:r>
      <w:r>
        <w:rPr>
          <w:rFonts w:eastAsia="仿宋_GB2312"/>
          <w:sz w:val="32"/>
          <w:szCs w:val="32"/>
        </w:rPr>
        <w:t>，指标完成</w:t>
      </w:r>
      <w:r>
        <w:rPr>
          <w:rFonts w:hint="eastAsia" w:eastAsia="仿宋_GB2312"/>
          <w:sz w:val="32"/>
          <w:szCs w:val="32"/>
        </w:rPr>
        <w:t>率100</w:t>
      </w:r>
      <w:r>
        <w:rPr>
          <w:rFonts w:eastAsia="仿宋_GB2312"/>
          <w:sz w:val="32"/>
          <w:szCs w:val="32"/>
        </w:rPr>
        <w:t>%</w:t>
      </w:r>
      <w:r>
        <w:rPr>
          <w:rFonts w:hint="eastAsia" w:eastAsia="仿宋_GB2312"/>
          <w:sz w:val="32"/>
          <w:szCs w:val="32"/>
        </w:rPr>
        <w:t>。</w:t>
      </w:r>
    </w:p>
    <w:p w14:paraId="019780FE">
      <w:p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（五）预算执行进度与绩效指标总体完成率偏差</w:t>
      </w:r>
    </w:p>
    <w:p w14:paraId="3356F138">
      <w:pPr>
        <w:pStyle w:val="21"/>
        <w:spacing w:line="560" w:lineRule="exact"/>
        <w:ind w:firstLine="64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宋体" w:eastAsia="仿宋_GB2312" w:cs="宋体"/>
          <w:b w:val="0"/>
          <w:color w:val="333333"/>
          <w:kern w:val="0"/>
          <w:sz w:val="32"/>
          <w:szCs w:val="32"/>
        </w:rPr>
        <w:t>专项业务费</w:t>
      </w:r>
      <w:r>
        <w:rPr>
          <w:rFonts w:hint="eastAsia" w:ascii="仿宋_GB2312" w:hAnsi="宋体" w:eastAsia="仿宋_GB2312" w:cs="宋体"/>
          <w:b w:val="0"/>
          <w:color w:val="333333"/>
          <w:kern w:val="0"/>
          <w:sz w:val="32"/>
          <w:szCs w:val="32"/>
          <w:lang w:eastAsia="zh-CN"/>
        </w:rPr>
        <w:t>（年初本级）项目</w:t>
      </w:r>
      <w:r>
        <w:rPr>
          <w:rFonts w:hint="eastAsia" w:ascii="仿宋_GB2312" w:eastAsia="仿宋_GB2312"/>
          <w:sz w:val="32"/>
          <w:szCs w:val="32"/>
        </w:rPr>
        <w:t>年初预算50万元，全年预算50万元，实际支出40.08万元，预算执行率为80.16%，项目绩效指标总体完成率为91.07%，总体偏差率为10.91%，偏差原因下半年电信与联通公司未对账，办公室网络使用费未及时支付。改进措施下一年度将加强财务与业务部门协同，提高资金支付率，并从高从严设置绩效目标。</w:t>
      </w:r>
    </w:p>
    <w:p w14:paraId="4B6B613D">
      <w:pPr>
        <w:spacing w:line="560" w:lineRule="exact"/>
        <w:ind w:firstLine="640" w:firstLineChars="200"/>
        <w:rPr>
          <w:rStyle w:val="20"/>
          <w:rFonts w:ascii="Times New Roman" w:hAnsi="Times New Roman" w:cs="Times New Roman"/>
          <w:color w:val="auto"/>
        </w:rPr>
      </w:pPr>
      <w:r>
        <w:rPr>
          <w:rFonts w:hint="eastAsia" w:eastAsia="黑体"/>
          <w:sz w:val="32"/>
          <w:szCs w:val="32"/>
        </w:rPr>
        <w:t>五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主要经验及做法、存在的问题及原因分析</w:t>
      </w:r>
    </w:p>
    <w:p w14:paraId="1DCB103A">
      <w:pPr>
        <w:spacing w:line="560" w:lineRule="exact"/>
        <w:ind w:firstLine="627" w:firstLineChars="200"/>
        <w:rPr>
          <w:rFonts w:eastAsia="楷体"/>
          <w:b/>
          <w:spacing w:val="-4"/>
          <w:sz w:val="32"/>
          <w:szCs w:val="32"/>
        </w:rPr>
      </w:pPr>
      <w:r>
        <w:rPr>
          <w:rFonts w:eastAsia="楷体"/>
          <w:b/>
          <w:spacing w:val="-4"/>
          <w:sz w:val="32"/>
          <w:szCs w:val="32"/>
        </w:rPr>
        <w:t>（一）主要经验及做法</w:t>
      </w:r>
    </w:p>
    <w:p w14:paraId="3259E1D3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Fonts w:eastAsia="仿宋_GB2312"/>
          <w:bCs/>
          <w:sz w:val="32"/>
          <w:szCs w:val="32"/>
        </w:rPr>
        <w:t>严格坚持先做事、后验收、再拨付的原则，</w:t>
      </w:r>
      <w:r>
        <w:rPr>
          <w:rFonts w:hint="eastAsia" w:eastAsia="仿宋_GB2312"/>
          <w:bCs/>
          <w:sz w:val="32"/>
          <w:szCs w:val="32"/>
        </w:rPr>
        <w:t>杜绝</w:t>
      </w:r>
      <w:r>
        <w:rPr>
          <w:rFonts w:eastAsia="仿宋_GB2312"/>
          <w:bCs/>
          <w:sz w:val="32"/>
          <w:szCs w:val="32"/>
        </w:rPr>
        <w:t>了资金被挤占和挪用现象的发生，跟踪检查到位。</w:t>
      </w:r>
    </w:p>
    <w:p w14:paraId="005445E2">
      <w:pPr>
        <w:keepNext/>
        <w:keepLines/>
        <w:numPr>
          <w:ilvl w:val="0"/>
          <w:numId w:val="5"/>
        </w:numPr>
        <w:spacing w:line="560" w:lineRule="exact"/>
        <w:ind w:firstLine="643" w:firstLineChars="200"/>
        <w:rPr>
          <w:rFonts w:eastAsia="楷体_GB2312"/>
          <w:b/>
          <w:bCs/>
          <w:sz w:val="32"/>
          <w:szCs w:val="32"/>
        </w:rPr>
      </w:pPr>
      <w:r>
        <w:rPr>
          <w:rFonts w:eastAsia="楷体_GB2312"/>
          <w:b/>
          <w:bCs/>
          <w:sz w:val="32"/>
          <w:szCs w:val="32"/>
        </w:rPr>
        <w:t>存在的问题及原因分析</w:t>
      </w:r>
    </w:p>
    <w:p w14:paraId="65F2EC3E">
      <w:pPr>
        <w:spacing w:line="600" w:lineRule="exact"/>
        <w:ind w:firstLine="640" w:firstLineChars="200"/>
        <w:outlineLvl w:val="0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相关绩效管理方面专业知识的系统性学习有待加强。各项指标的设置要进一步优化、完善，主要在细化、量化上改进。在绩效自评过程中，</w:t>
      </w:r>
      <w:r>
        <w:rPr>
          <w:rFonts w:eastAsia="仿宋_GB2312"/>
          <w:sz w:val="32"/>
          <w:szCs w:val="32"/>
          <w:lang w:val="en-US" w:eastAsia="zh-CN"/>
        </w:rPr>
        <w:t>由于部分人员</w:t>
      </w:r>
      <w:r>
        <w:rPr>
          <w:rFonts w:eastAsia="仿宋_GB2312"/>
          <w:sz w:val="32"/>
          <w:szCs w:val="32"/>
        </w:rPr>
        <w:t>缺乏相关绩效管理专业知识，</w:t>
      </w:r>
      <w:r>
        <w:rPr>
          <w:rFonts w:hint="eastAsia" w:ascii="仿宋_GB2312" w:hAnsi="宋体" w:eastAsia="仿宋_GB2312" w:cs="宋体"/>
          <w:sz w:val="32"/>
          <w:szCs w:val="32"/>
        </w:rPr>
        <w:t>绩效</w:t>
      </w:r>
      <w:r>
        <w:rPr>
          <w:rFonts w:hint="eastAsia" w:ascii="仿宋_GB2312" w:eastAsia="仿宋_GB2312"/>
          <w:sz w:val="32"/>
          <w:szCs w:val="32"/>
        </w:rPr>
        <w:t>评价工作还存在自我审定的局限性，影响评价质量。</w:t>
      </w:r>
    </w:p>
    <w:p w14:paraId="69F2E791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六</w:t>
      </w:r>
      <w:r>
        <w:rPr>
          <w:rFonts w:eastAsia="黑体"/>
          <w:sz w:val="32"/>
          <w:szCs w:val="32"/>
        </w:rPr>
        <w:t>.有关建议</w:t>
      </w:r>
    </w:p>
    <w:p w14:paraId="70BD9DFA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1.多进行有关绩效管理工作方面的培训。积极组织第三方开展绩效管理工作培训，进一步夯实业务基础，提高我单位绩效人员水平。</w:t>
      </w:r>
    </w:p>
    <w:p w14:paraId="6A644BEB">
      <w:pPr>
        <w:spacing w:line="600" w:lineRule="exact"/>
        <w:ind w:firstLine="640" w:firstLineChars="200"/>
        <w:outlineLvl w:val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2C9CB4A7">
      <w:pPr>
        <w:spacing w:line="560" w:lineRule="exact"/>
        <w:ind w:firstLine="640" w:firstLineChars="200"/>
        <w:rPr>
          <w:rFonts w:eastAsia="黑体"/>
          <w:sz w:val="32"/>
          <w:szCs w:val="32"/>
        </w:rPr>
      </w:pPr>
      <w:r>
        <w:rPr>
          <w:rFonts w:hint="eastAsia" w:eastAsia="黑体"/>
          <w:sz w:val="32"/>
          <w:szCs w:val="32"/>
        </w:rPr>
        <w:t>七</w:t>
      </w:r>
      <w:r>
        <w:rPr>
          <w:rFonts w:eastAsia="仿宋_GB2312"/>
          <w:b/>
          <w:bCs/>
          <w:sz w:val="32"/>
          <w:szCs w:val="32"/>
        </w:rPr>
        <w:t>.</w:t>
      </w:r>
      <w:r>
        <w:rPr>
          <w:rFonts w:eastAsia="黑体"/>
          <w:sz w:val="32"/>
          <w:szCs w:val="32"/>
        </w:rPr>
        <w:t>其他需要说</w:t>
      </w:r>
      <w:bookmarkStart w:id="2" w:name="page8"/>
      <w:bookmarkEnd w:id="2"/>
      <w:r>
        <w:rPr>
          <w:rFonts w:eastAsia="黑体"/>
          <w:sz w:val="32"/>
          <w:szCs w:val="32"/>
        </w:rPr>
        <w:t>明的问题</w:t>
      </w:r>
    </w:p>
    <w:p w14:paraId="25730E48">
      <w:pPr>
        <w:pStyle w:val="12"/>
        <w:spacing w:after="0" w:line="560" w:lineRule="exact"/>
        <w:ind w:left="0" w:leftChars="0" w:firstLine="640"/>
      </w:pPr>
      <w:r>
        <w:rPr>
          <w:rFonts w:ascii="Times New Roman" w:hAnsi="Times New Roman" w:eastAsia="仿宋_GB2312"/>
          <w:sz w:val="32"/>
          <w:szCs w:val="32"/>
        </w:rPr>
        <w:t>本项目无其他需说明的问题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E22B6F-5E56-4CC0-A4A1-687790C3EEB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2" w:fontKey="{5259F52A-7825-4770-9F7B-5C8AFD3CB3DD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A6536156-B9C0-479D-9459-A65D2FEFB013}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4" w:fontKey="{8CEE5647-5B03-4CB7-AF28-4845CA1F59A8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528DC615-1E3C-495F-B4C8-D70459F37957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6" w:fontKey="{F2F9CBA5-EEFD-4F46-94AF-F9846D5EA49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6CD41396-EA73-4316-8BA2-8ABC97851E06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468962"/>
    </w:sdtPr>
    <w:sdtContent>
      <w:p w14:paraId="4AEBF0EB"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20</w:t>
        </w:r>
        <w:r>
          <w:rPr>
            <w:lang w:val="zh-CN"/>
          </w:rPr>
          <w:fldChar w:fldCharType="end"/>
        </w:r>
      </w:p>
    </w:sdtContent>
  </w:sdt>
  <w:p w14:paraId="3576E08D"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singleLevel"/>
    <w:tmpl w:val="B5E306ED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BF205925"/>
    <w:multiLevelType w:val="singleLevel"/>
    <w:tmpl w:val="BF20592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CF092B84"/>
    <w:multiLevelType w:val="singleLevel"/>
    <w:tmpl w:val="CF092B84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3">
    <w:nsid w:val="0053208E"/>
    <w:multiLevelType w:val="singleLevel"/>
    <w:tmpl w:val="0053208E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9ADCABA"/>
    <w:multiLevelType w:val="singleLevel"/>
    <w:tmpl w:val="59ADCABA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NotTrackMove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ODkzYTY1ODhmZjRiY2MxNDhlNzhkN2RkNzk0ZmMyNjIifQ=="/>
  </w:docVars>
  <w:rsids>
    <w:rsidRoot w:val="00000000"/>
    <w:rsid w:val="232A74B8"/>
    <w:rsid w:val="27B32EE4"/>
  </w:rsids>
  <m:mathPr>
    <m:mathFont m:val="Cambria Math"/>
    <m:brkBin m:val="before"/>
    <m:brkBinSub m:val="--"/>
    <m:smallFrac m:val="1"/>
    <m:dispDef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9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1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iPriority="99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3"/>
    <w:basedOn w:val="1"/>
    <w:next w:val="1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character" w:default="1" w:styleId="15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Subtitle"/>
    <w:basedOn w:val="1"/>
    <w:next w:val="1"/>
    <w:qFormat/>
    <w:uiPriority w:val="11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5">
    <w:name w:val="Body Text Indent"/>
    <w:basedOn w:val="1"/>
    <w:qFormat/>
    <w:uiPriority w:val="0"/>
    <w:pPr>
      <w:spacing w:after="120"/>
      <w:ind w:left="420" w:leftChars="200"/>
    </w:pPr>
    <w:rPr>
      <w:rFonts w:ascii="Calibri" w:hAnsi="Calibri"/>
    </w:rPr>
  </w:style>
  <w:style w:type="paragraph" w:styleId="6">
    <w:name w:val="Balloon Text"/>
    <w:basedOn w:val="1"/>
    <w:link w:val="22"/>
    <w:qFormat/>
    <w:uiPriority w:val="0"/>
    <w:rPr>
      <w:sz w:val="18"/>
      <w:szCs w:val="18"/>
    </w:rPr>
  </w:style>
  <w:style w:type="paragraph" w:styleId="7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8">
    <w:name w:val="header"/>
    <w:basedOn w:val="1"/>
    <w:link w:val="2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10">
    <w:name w:val="Title"/>
    <w:basedOn w:val="1"/>
    <w:next w:val="1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paragraph" w:styleId="11">
    <w:name w:val="Body Text First Indent"/>
    <w:basedOn w:val="2"/>
    <w:qFormat/>
    <w:uiPriority w:val="0"/>
    <w:pPr>
      <w:spacing w:after="0"/>
      <w:ind w:firstLine="200" w:firstLineChars="200"/>
    </w:pPr>
  </w:style>
  <w:style w:type="paragraph" w:styleId="12">
    <w:name w:val="Body Text First Indent 2"/>
    <w:basedOn w:val="5"/>
    <w:qFormat/>
    <w:uiPriority w:val="0"/>
    <w:pPr>
      <w:ind w:firstLine="420" w:firstLineChars="200"/>
    </w:pPr>
  </w:style>
  <w:style w:type="table" w:styleId="14">
    <w:name w:val="Table Grid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16">
    <w:name w:val="Strong"/>
    <w:basedOn w:val="15"/>
    <w:qFormat/>
    <w:uiPriority w:val="0"/>
    <w:rPr>
      <w:b/>
      <w:bCs/>
    </w:rPr>
  </w:style>
  <w:style w:type="paragraph" w:customStyle="1" w:styleId="17">
    <w:name w:val="Comment Text"/>
    <w:basedOn w:val="1"/>
    <w:link w:val="24"/>
    <w:qFormat/>
    <w:uiPriority w:val="0"/>
    <w:pPr>
      <w:jc w:val="left"/>
    </w:pPr>
  </w:style>
  <w:style w:type="paragraph" w:customStyle="1" w:styleId="18">
    <w:name w:val="Comment Subject"/>
    <w:basedOn w:val="17"/>
    <w:next w:val="17"/>
    <w:link w:val="25"/>
    <w:qFormat/>
    <w:uiPriority w:val="0"/>
    <w:rPr>
      <w:b/>
      <w:bCs/>
    </w:rPr>
  </w:style>
  <w:style w:type="character" w:customStyle="1" w:styleId="19">
    <w:name w:val="Comment Reference"/>
    <w:basedOn w:val="15"/>
    <w:qFormat/>
    <w:uiPriority w:val="0"/>
    <w:rPr>
      <w:sz w:val="21"/>
      <w:szCs w:val="21"/>
    </w:rPr>
  </w:style>
  <w:style w:type="character" w:customStyle="1" w:styleId="20">
    <w:name w:val="fontstyle01"/>
    <w:qFormat/>
    <w:uiPriority w:val="0"/>
    <w:rPr>
      <w:rFonts w:ascii="仿宋_GB2312" w:hAnsi="仿宋_GB2312" w:eastAsia="仿宋_GB2312" w:cs="仿宋_GB2312"/>
      <w:color w:val="000000"/>
      <w:sz w:val="32"/>
      <w:szCs w:val="32"/>
    </w:rPr>
  </w:style>
  <w:style w:type="paragraph" w:customStyle="1" w:styleId="21">
    <w:name w:val="闻政-正文段落文字"/>
    <w:basedOn w:val="1"/>
    <w:qFormat/>
    <w:uiPriority w:val="3"/>
    <w:pPr>
      <w:spacing w:line="500" w:lineRule="exact"/>
      <w:ind w:firstLine="200"/>
    </w:pPr>
    <w:rPr>
      <w:kern w:val="0"/>
      <w:szCs w:val="28"/>
    </w:rPr>
  </w:style>
  <w:style w:type="character" w:customStyle="1" w:styleId="22">
    <w:name w:val="批注框文本 Char"/>
    <w:basedOn w:val="15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3">
    <w:name w:val="页眉 Char"/>
    <w:basedOn w:val="15"/>
    <w:link w:val="8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24">
    <w:name w:val="批注文字 Char"/>
    <w:basedOn w:val="15"/>
    <w:link w:val="17"/>
    <w:qFormat/>
    <w:uiPriority w:val="0"/>
    <w:rPr>
      <w:rFonts w:ascii="Times New Roman" w:hAnsi="Times New Roman" w:eastAsia="宋体" w:cs="Times New Roman"/>
      <w:kern w:val="2"/>
      <w:sz w:val="21"/>
      <w:szCs w:val="24"/>
    </w:rPr>
  </w:style>
  <w:style w:type="character" w:customStyle="1" w:styleId="25">
    <w:name w:val="批注主题 Char"/>
    <w:basedOn w:val="24"/>
    <w:link w:val="18"/>
    <w:qFormat/>
    <w:uiPriority w:val="0"/>
    <w:rPr>
      <w:rFonts w:ascii="Times New Roman" w:hAnsi="Times New Roman" w:eastAsia="宋体" w:cs="Times New Roman"/>
      <w:b/>
      <w:bCs/>
      <w:kern w:val="2"/>
      <w:sz w:val="21"/>
      <w:szCs w:val="24"/>
    </w:rPr>
  </w:style>
  <w:style w:type="paragraph" w:styleId="2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eyJoZGlkIjoiM2QyNTVlMjA1MzU0ZmE2ZGVjNjEzNjExZjg0MmQ1MzciLCJ1c2VySWQiOiIyMjk4MzUzNDIifQ==</vt:lpwstr>
  </property>
</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af885-e663-4024-bba9-58d6a77f2ac4}">
  <ds:schemaRefs/>
</ds:datastoreItem>
</file>

<file path=customXml/itemProps2.xml><?xml version="1.0" encoding="utf-8"?>
<ds:datastoreItem xmlns:ds="http://schemas.openxmlformats.org/officeDocument/2006/customXml" ds:itemID="{3369A733-899D-47BC-A8BF-DC1FE723E46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20</Pages>
  <Words>8818</Words>
  <Characters>9047</Characters>
  <Lines>8</Lines>
  <Paragraphs>27</Paragraphs>
  <TotalTime>20</TotalTime>
  <ScaleCrop>false</ScaleCrop>
  <LinksUpToDate>false</LinksUpToDate>
  <CharactersWithSpaces>9061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2023-03-08T13:13:00Z</dcterms:created>
  <dc:creator>审核人</dc:creator>
  <cp:lastModifiedBy>雨。</cp:lastModifiedBy>
  <dcterms:modified xsi:type="dcterms:W3CDTF">2025-11-13T08:05:56Z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F1A32EB7C53F433780EB4BD1AD3DECDF_13</vt:lpwstr>
  </property>
  <property fmtid="{D5CDD505-2E9C-101B-9397-08002B2CF9AE}" pid="4" name="KSOTemplateDocerSaveRecord">
    <vt:lpwstr>eyJoZGlkIjoiMzEwNjkzMWMxZWMzNzU0NmUyNzQ2NGY3YzlmZjBhZDUiLCJ1c2VySWQiOiI0OTMxMTE3MjUifQ==</vt:lpwstr>
  </property>
</Properties>
</file>