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40" w:lineRule="exact"/>
        <w:jc w:val="center"/>
        <w:rPr>
          <w:rFonts w:ascii="Times New Roman" w:eastAsia="华文中宋" w:hAnsi="Times New Roman" w:cs="Times New Roman" w:hint="default"/>
          <w:b/>
          <w:kern w:val="0"/>
          <w:sz w:val="52"/>
          <w:szCs w:val="52"/>
        </w:rPr>
      </w:pPr>
    </w:p>
    <w:p>
      <w:pPr>
        <w:spacing w:line="540" w:lineRule="exact"/>
        <w:rPr>
          <w:rFonts w:ascii="Times New Roman" w:eastAsia="华文中宋" w:hAnsi="Times New Roman" w:cs="Times New Roman" w:hint="default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Times New Roman" w:eastAsia="华文中宋" w:hAnsi="Times New Roman" w:cs="Times New Roman" w:hint="default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Times New Roman" w:eastAsia="华文中宋" w:hAnsi="Times New Roman" w:cs="Times New Roman" w:hint="default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Times New Roman" w:eastAsia="方正小标宋_GBK" w:hAnsi="Times New Roman" w:cs="Times New Roman" w:hint="default"/>
          <w:kern w:val="0"/>
          <w:sz w:val="48"/>
          <w:szCs w:val="48"/>
        </w:rPr>
      </w:pPr>
      <w:bookmarkStart w:id="0" w:name="OLE_LINK1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eastAsia="zh-CN"/>
        </w:rPr>
        <w:t xml:space="preserve">伊州财建【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val="en-US" w:eastAsia="zh-CN"/>
        </w:rPr>
        <w:t xml:space="preserve">2024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eastAsia="zh-CN"/>
        </w:rPr>
        <w:t xml:space="preserve">】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val="en-US" w:eastAsia="zh-CN"/>
        </w:rPr>
        <w:t xml:space="preserve">81号地震重点危险区城镇住宅抗震安全排查整治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 xml:space="preserve">项目</w:t>
      </w:r>
      <w:bookmarkEnd w:id="0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 xml:space="preserve">支出绩效评价报告</w:t>
      </w:r>
    </w:p>
    <w:p>
      <w:pPr>
        <w:spacing w:line="540" w:lineRule="exact"/>
        <w:jc w:val="center"/>
        <w:rPr>
          <w:rFonts w:ascii="Times New Roman" w:eastAsia="华文中宋" w:hAnsi="Times New Roman" w:cs="Times New Roman" w:hint="default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Times New Roman" w:eastAsia="仿宋_GB2312" w:hAnsi="Times New Roman" w:cs="Times New Roman" w:hint="default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（202</w:t>
      </w:r>
      <w:r>
        <w:rPr>
          <w:rFonts w:ascii="Times New Roman" w:eastAsia="仿宋_GB2312" w:hAnsi="Times New Roman" w:cs="Times New Roman" w:hint="default"/>
          <w:kern w:val="0"/>
          <w:sz w:val="32"/>
          <w:szCs w:val="32"/>
          <w:lang w:val="en-US" w:eastAsia="zh-CN"/>
        </w:rPr>
        <w:t xml:space="preserve">4</w:t>
      </w: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年度）</w:t>
      </w:r>
    </w:p>
    <w:p>
      <w:pPr>
        <w:spacing w:line="540" w:lineRule="exact"/>
        <w:jc w:val="center"/>
        <w:rPr>
          <w:rFonts w:ascii="Times New Roman" w:eastAsia="仿宋_GB2312" w:hAnsi="Times New Roman" w:cs="Times New Roman" w:hint="default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Times New Roman" w:eastAsia="仿宋_GB2312" w:hAnsi="Times New Roman" w:cs="Times New Roman" w:hint="default"/>
          <w:kern w:val="0"/>
          <w:sz w:val="32"/>
          <w:szCs w:val="32"/>
        </w:rPr>
      </w:pPr>
    </w:p>
    <w:p>
      <w:pPr>
        <w:pStyle w:val="Title"/>
        <w:jc w:val="both"/>
        <w:rPr>
          <w:rFonts w:ascii="Times New Roman" w:hAnsi="Times New Roman" w:cs="Times New Roman" w:hint="default"/>
          <w:sz w:val="32"/>
          <w:szCs w:val="32"/>
        </w:rPr>
      </w:pPr>
    </w:p>
    <w:p>
      <w:pPr>
        <w:spacing w:line="540" w:lineRule="exact"/>
        <w:jc w:val="center"/>
        <w:rPr>
          <w:rFonts w:ascii="Times New Roman" w:eastAsia="仿宋_GB2312" w:hAnsi="Times New Roman" w:cs="Times New Roman" w:hint="default"/>
          <w:kern w:val="0"/>
          <w:sz w:val="32"/>
          <w:szCs w:val="32"/>
        </w:rPr>
      </w:pPr>
    </w:p>
    <w:p>
      <w:pPr>
        <w:spacing w:line="540" w:lineRule="exact"/>
        <w:rPr>
          <w:rFonts w:ascii="Times New Roman" w:eastAsia="仿宋_GB2312" w:hAnsi="Times New Roman" w:cs="Times New Roman" w:hint="default"/>
          <w:kern w:val="0"/>
          <w:sz w:val="32"/>
          <w:szCs w:val="32"/>
        </w:rPr>
      </w:pPr>
    </w:p>
    <w:p>
      <w:pPr>
        <w:spacing w:line="700" w:lineRule="exact"/>
        <w:ind w:left="2558" w:hanging="1600" w:leftChars="456" w:hangingChars="500"/>
        <w:jc w:val="left"/>
        <w:rPr>
          <w:rFonts w:eastAsia="仿宋_GB2312" w:cs="Times New Roman" w:hint="default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项目名称：</w:t>
      </w:r>
      <w:bookmarkStart w:id="1" w:name="OLE_LINK4"/>
      <w:r>
        <w:rPr>
          <w:rFonts w:eastAsia="仿宋_GB2312" w:cs="Times New Roman" w:hint="eastAsia"/>
          <w:kern w:val="0"/>
          <w:sz w:val="32"/>
          <w:szCs w:val="32"/>
          <w:lang w:eastAsia="zh-CN"/>
        </w:rPr>
        <w:t xml:space="preserve">伊州财建【</w:t>
      </w:r>
      <w:r>
        <w:rPr>
          <w:rFonts w:eastAsia="仿宋_GB2312" w:cs="Times New Roman" w:hint="eastAsia"/>
          <w:kern w:val="0"/>
          <w:sz w:val="32"/>
          <w:szCs w:val="32"/>
          <w:lang w:val="en-US" w:eastAsia="zh-CN"/>
        </w:rPr>
        <w:t xml:space="preserve">2024</w:t>
      </w:r>
      <w:r>
        <w:rPr>
          <w:rFonts w:eastAsia="仿宋_GB2312" w:cs="Times New Roman" w:hint="eastAsia"/>
          <w:kern w:val="0"/>
          <w:sz w:val="32"/>
          <w:szCs w:val="32"/>
          <w:lang w:eastAsia="zh-CN"/>
        </w:rPr>
        <w:t xml:space="preserve">】</w:t>
      </w:r>
      <w:r>
        <w:rPr>
          <w:rFonts w:eastAsia="仿宋_GB2312" w:cs="Times New Roman" w:hint="eastAsia"/>
          <w:kern w:val="0"/>
          <w:sz w:val="32"/>
          <w:szCs w:val="32"/>
          <w:lang w:val="en-US" w:eastAsia="zh-CN"/>
        </w:rPr>
        <w:t xml:space="preserve">81号地震重点危   险区城镇住宅抗震安全排查整治</w:t>
      </w:r>
      <w:r>
        <w:rPr>
          <w:rFonts w:eastAsia="仿宋_GB2312" w:cs="Times New Roman" w:hint="default"/>
          <w:kern w:val="0"/>
          <w:sz w:val="32"/>
          <w:szCs w:val="32"/>
          <w:lang w:eastAsia="zh-CN"/>
        </w:rPr>
        <w:t xml:space="preserve">项目</w:t>
      </w:r>
      <w:bookmarkEnd w:id="1"/>
    </w:p>
    <w:p>
      <w:pPr>
        <w:spacing w:line="700" w:lineRule="exact"/>
        <w:ind w:firstLine="960" w:firstLineChars="30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实施单位（公章）：</w:t>
      </w:r>
      <w:bookmarkStart w:id="2" w:name="OLE_LINK30"/>
      <w:r>
        <w:rPr>
          <w:rFonts w:eastAsia="仿宋_GB2312" w:cs="Times New Roman" w:hint="eastAsia"/>
          <w:kern w:val="0"/>
          <w:sz w:val="32"/>
          <w:szCs w:val="32"/>
          <w:lang w:eastAsia="zh-CN"/>
        </w:rPr>
        <w:t xml:space="preserve">特克斯县住房和城乡建设局</w:t>
      </w:r>
      <w:bookmarkEnd w:id="2"/>
    </w:p>
    <w:p>
      <w:pPr>
        <w:spacing w:line="700" w:lineRule="exact"/>
        <w:ind w:firstLine="960" w:firstLineChars="300"/>
        <w:jc w:val="left"/>
        <w:rPr>
          <w:rFonts w:ascii="Times New Roman" w:eastAsia="仿宋_GB2312" w:hAnsi="Times New Roman" w:cs="Times New Roman" w:hint="default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主管部门（公章）：</w:t>
      </w:r>
      <w:r>
        <w:rPr>
          <w:rFonts w:eastAsia="仿宋_GB2312" w:cs="Times New Roman" w:hint="eastAsia"/>
          <w:kern w:val="0"/>
          <w:sz w:val="32"/>
          <w:szCs w:val="32"/>
          <w:lang w:eastAsia="zh-CN"/>
        </w:rPr>
        <w:t xml:space="preserve">特克斯县住房和城乡建设局</w:t>
      </w:r>
    </w:p>
    <w:p>
      <w:pPr>
        <w:spacing w:line="700" w:lineRule="exact"/>
        <w:ind w:firstLine="960" w:firstLineChars="300"/>
        <w:jc w:val="left"/>
        <w:rPr>
          <w:rFonts w:ascii="Times New Roman" w:eastAsia="仿宋_GB2312" w:hAnsi="Times New Roman" w:cs="Times New Roman" w:hint="eastAsia"/>
          <w:kern w:val="0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项目负责人（签章）：</w:t>
      </w:r>
      <w:r>
        <w:rPr>
          <w:rFonts w:eastAsia="仿宋_GB2312" w:cs="Times New Roman" w:hint="eastAsia"/>
          <w:kern w:val="0"/>
          <w:sz w:val="32"/>
          <w:szCs w:val="32"/>
          <w:lang w:eastAsia="zh-CN"/>
        </w:rPr>
        <w:t xml:space="preserve">叶尔买克</w:t>
      </w:r>
    </w:p>
    <w:p>
      <w:pPr>
        <w:spacing w:line="700" w:lineRule="exact"/>
        <w:ind w:firstLine="960" w:firstLineChars="300"/>
        <w:jc w:val="left"/>
        <w:rPr>
          <w:rFonts w:ascii="Times New Roman" w:eastAsia="仿宋_GB2312" w:hAnsi="Times New Roman" w:cs="Times New Roman" w:hint="default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填报时间：</w:t>
      </w:r>
      <w:r>
        <w:rPr>
          <w:rFonts w:eastAsia="仿宋_GB2312" w:cs="Times New Roman" w:hint="eastAsia"/>
          <w:kern w:val="0"/>
          <w:sz w:val="32"/>
          <w:szCs w:val="32"/>
          <w:lang w:val="en-US" w:eastAsia="zh-CN"/>
        </w:rPr>
        <w:t xml:space="preserve">2025</w:t>
      </w: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年</w:t>
      </w:r>
      <w:r>
        <w:rPr>
          <w:rFonts w:eastAsia="仿宋_GB2312" w:cs="Times New Roman" w:hint="eastAsia"/>
          <w:kern w:val="0"/>
          <w:sz w:val="32"/>
          <w:szCs w:val="32"/>
          <w:lang w:val="en-US" w:eastAsia="zh-CN"/>
        </w:rPr>
        <w:t xml:space="preserve">5</w:t>
      </w: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月</w:t>
      </w:r>
      <w:r>
        <w:rPr>
          <w:rFonts w:eastAsia="仿宋_GB2312" w:cs="Times New Roman" w:hint="eastAsia"/>
          <w:kern w:val="0"/>
          <w:sz w:val="32"/>
          <w:szCs w:val="32"/>
          <w:lang w:val="en-US" w:eastAsia="zh-CN"/>
        </w:rPr>
        <w:t xml:space="preserve">14</w:t>
      </w:r>
      <w:r>
        <w:rPr>
          <w:rFonts w:ascii="Times New Roman" w:eastAsia="仿宋_GB2312" w:hAnsi="Times New Roman" w:cs="Times New Roman" w:hint="default"/>
          <w:kern w:val="0"/>
          <w:sz w:val="32"/>
          <w:szCs w:val="32"/>
        </w:rPr>
        <w:t xml:space="preserve">日</w:t>
      </w:r>
    </w:p>
    <w:p>
      <w:pPr>
        <w:spacing w:line="540" w:lineRule="exact"/>
        <w:jc w:val="center"/>
        <w:rPr>
          <w:rFonts w:ascii="Times New Roman" w:eastAsia="仿宋_GB2312" w:hAnsi="Times New Roman" w:cs="Times New Roman" w:hint="default"/>
          <w:kern w:val="0"/>
          <w:sz w:val="30"/>
          <w:szCs w:val="30"/>
        </w:rPr>
      </w:pPr>
    </w:p>
    <w:p>
      <w:pPr>
        <w:spacing w:line="560" w:lineRule="exact"/>
        <w:rPr>
          <w:rFonts w:ascii="Times New Roman" w:eastAsia="黑体" w:hAnsi="Times New Roman" w:cs="Times New Roman" w:hint="default"/>
          <w:bCs/>
          <w:sz w:val="32"/>
          <w:szCs w:val="32"/>
        </w:rPr>
        <w:sectPr>
          <w:pgSz w:w="11906" w:h="16838" w:orient="portrait"/>
          <w:pgMar w:top="2098" w:right="1531" w:bottom="1984" w:left="1531" w:header="851" w:footer="992" w:gutter="0"/>
          <w:pgBorders/>
          <w:cols w:num="1" w:space="425">
            <w:col w:w="8844" w:space="425"/>
          </w:cols>
          <w:docGrid w:type="lines" w:linePitch="312" w:charSpace="0"/>
        </w:sectPr>
      </w:pPr>
    </w:p>
    <w:p>
      <w:pPr>
        <w:spacing w:line="560" w:lineRule="exact"/>
        <w:ind w:firstLine="640" w:firstLineChars="200"/>
        <w:rPr>
          <w:rFonts w:ascii="Times New Roman" w:eastAsia="黑体" w:hAnsi="Times New Roman" w:cs="Times New Roman" w:hint="default"/>
          <w:bCs/>
          <w:sz w:val="32"/>
          <w:szCs w:val="32"/>
        </w:rPr>
      </w:pPr>
      <w:r>
        <w:rPr>
          <w:rFonts w:ascii="Times New Roman" w:eastAsia="黑体" w:hAnsi="Times New Roman" w:cs="Times New Roman" w:hint="default"/>
          <w:bCs/>
          <w:sz w:val="32"/>
          <w:szCs w:val="32"/>
        </w:rPr>
        <w:t xml:space="preserve">一、基本情况</w:t>
      </w:r>
    </w:p>
    <w:p>
      <w:pPr>
        <w:spacing w:line="560" w:lineRule="exact"/>
        <w:ind w:firstLine="640" w:firstLineChars="200"/>
        <w:rPr>
          <w:rFonts w:ascii="Times New Roman" w:eastAsia="楷体_GB2312" w:hAnsi="Times New Roman" w:cs="Times New Roman" w:hint="default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 w:hint="default"/>
          <w:b/>
          <w:bCs/>
          <w:sz w:val="32"/>
          <w:szCs w:val="32"/>
        </w:rPr>
        <w:t xml:space="preserve">（一）项目概况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b/>
          <w:bCs/>
          <w:sz w:val="32"/>
          <w:szCs w:val="32"/>
        </w:rPr>
      </w:pPr>
      <w:bookmarkStart w:id="3" w:name="OLE_LINK19"/>
      <w:r>
        <w:rPr>
          <w:rFonts w:ascii="Times New Roman" w:eastAsia="仿宋_GB2312" w:hAnsi="Times New Roman" w:cs="Times New Roman" w:hint="default"/>
          <w:b/>
          <w:bCs/>
          <w:sz w:val="32"/>
          <w:szCs w:val="32"/>
        </w:rPr>
        <w:t xml:space="preserve">1</w:t>
      </w: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  <w:t xml:space="preserve">.</w:t>
      </w:r>
      <w:r>
        <w:rPr>
          <w:rFonts w:ascii="Times New Roman" w:eastAsia="仿宋_GB2312" w:hAnsi="Times New Roman" w:cs="Times New Roman" w:hint="default"/>
          <w:b/>
          <w:bCs/>
          <w:sz w:val="32"/>
          <w:szCs w:val="32"/>
        </w:rPr>
        <w:t xml:space="preserve">项目背景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根据自治区、自治州要求，全面排查评估、鉴定、整治地震重点危险区城镇住宅抗震安全，最大程度减轻地震灾害风险、最大限度减少地震灾害损失、切实保障人民群众生命财产安全。</w:t>
      </w:r>
    </w:p>
    <w:p>
      <w:pPr>
        <w:pStyle w:val="Title"/>
        <w:numPr>
          <w:ilvl w:val="0"/>
          <w:numId w:val="0"/>
        </w:numPr>
        <w:spacing w:before="0" w:after="0" w:line="560" w:lineRule="exact"/>
        <w:ind w:firstLine="640" w:firstLineChars="200"/>
        <w:jc w:val="both"/>
        <w:rPr>
          <w:rFonts w:ascii="Times New Roman" w:eastAsia="仿宋_GB2312" w:hAnsi="Times New Roman" w:cs="Times New Roman" w:hint="default"/>
          <w:kern w:val="2"/>
        </w:rPr>
      </w:pPr>
      <w:r>
        <w:rPr>
          <w:rFonts w:ascii="Times New Roman" w:eastAsia="仿宋_GB2312" w:hAnsi="Times New Roman" w:cs="Times New Roman" w:hint="default"/>
          <w:kern w:val="2"/>
          <w:lang w:val="en-US" w:eastAsia="zh-CN"/>
        </w:rPr>
        <w:t xml:space="preserve">2.</w:t>
      </w:r>
      <w:r>
        <w:rPr>
          <w:rFonts w:ascii="Times New Roman" w:eastAsia="仿宋_GB2312" w:hAnsi="Times New Roman" w:cs="Times New Roman" w:hint="default"/>
          <w:kern w:val="2"/>
        </w:rPr>
        <w:t xml:space="preserve">项目主要内容：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项目主要内容：</w:t>
      </w:r>
      <w:bookmarkStart w:id="4" w:name="OLE_LINK2"/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完成</w:t>
      </w:r>
      <w:bookmarkStart w:id="5" w:name="OLE_LINK3"/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11034栋城镇住宅评估、4.19万平米城镇住宅抗震鉴定</w:t>
      </w:r>
      <w:bookmarkEnd w:id="5"/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。</w:t>
      </w:r>
      <w:bookmarkEnd w:id="4"/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项目实施情况：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已完成11034栋城镇住宅评估、4.19万平米城镇住宅抗震鉴定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 w:hint="default"/>
          <w:b/>
          <w:bCs/>
          <w:sz w:val="32"/>
          <w:szCs w:val="32"/>
        </w:rPr>
        <w:t xml:space="preserve">3</w:t>
      </w: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  <w:t xml:space="preserve">.</w:t>
      </w:r>
      <w:r>
        <w:rPr>
          <w:rFonts w:ascii="Times New Roman" w:eastAsia="仿宋_GB2312" w:hAnsi="Times New Roman" w:cs="Times New Roman" w:hint="default"/>
          <w:b/>
          <w:bCs/>
          <w:sz w:val="32"/>
          <w:szCs w:val="32"/>
        </w:rPr>
        <w:t xml:space="preserve">资金投入和使用情况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（1）资金投入情况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该项目年初预算数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252.11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万元，全年预算数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252.11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万元，该项目资金已全部落实到位，资金来源为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财政拨款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（2）资金使用情况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该项目年初预算数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252.11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万元，全年预算数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252.11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万元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，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，全年执行数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226.62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万元，预算执行率为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89.89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%，主要用于：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11034栋</w:t>
      </w:r>
      <w:bookmarkStart w:id="6" w:name="OLE_LINK31"/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城镇住宅评估</w:t>
      </w:r>
      <w:bookmarkEnd w:id="6"/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、4.19万平米城镇住宅抗震鉴定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。</w:t>
      </w:r>
      <w:bookmarkEnd w:id="3"/>
    </w:p>
    <w:p>
      <w:pPr>
        <w:spacing w:line="560" w:lineRule="exact"/>
        <w:ind w:firstLine="640" w:firstLineChars="200"/>
        <w:rPr>
          <w:rFonts w:ascii="Times New Roman" w:eastAsia="楷体_GB2312" w:hAnsi="Times New Roman" w:cs="Times New Roman" w:hint="default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 w:hint="default"/>
          <w:b/>
          <w:bCs/>
          <w:sz w:val="32"/>
          <w:szCs w:val="32"/>
        </w:rPr>
        <w:t xml:space="preserve">（二）项目绩效目标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1.总体目标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关于印发《特克斯县牧民越冬放牧点生产用房（居住）安全隐患排查整治实施方案》等3项方案的通知（特政办函【2024】8号）文件要求，该项目至少用于</w:t>
      </w:r>
      <w:bookmarkStart w:id="7" w:name="OLE_LINK5"/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11034栋城镇住宅评估、4.19万平方米城镇住宅抗震鉴定，该项目的实施将减轻地震灾害风险，切实保障人民群众生命财产安全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。</w:t>
      </w:r>
      <w:bookmarkEnd w:id="7"/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2.阶段性目标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第一阶段：9月底</w:t>
      </w:r>
      <w:bookmarkStart w:id="8" w:name="OLE_LINK32"/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11034栋城镇住宅评估率和4.19万平米城镇住宅抗震鉴定率达到70%</w:t>
      </w:r>
      <w:bookmarkEnd w:id="8"/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；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第二阶段：10月底11034栋城镇住宅评估率和4.19万平米城镇住宅抗震鉴定率达到90%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eastAsia"/>
          <w:sz w:val="32"/>
          <w:szCs w:val="32"/>
          <w:highlight w:val="none"/>
          <w:lang w:val="en-US" w:eastAsia="zh-CN"/>
        </w:rPr>
        <w:t xml:space="preserve">第三阶段：11月底11034栋城镇住宅评估率和4.19万平米城镇住宅抗震鉴定率达到100%</w:t>
      </w: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。</w:t>
      </w:r>
    </w:p>
    <w:p>
      <w:pPr>
        <w:spacing w:line="560" w:lineRule="exact"/>
        <w:ind w:firstLine="640" w:firstLineChars="200"/>
        <w:rPr>
          <w:rFonts w:ascii="Times New Roman" w:eastAsia="黑体" w:hAnsi="Times New Roman" w:cs="Times New Roman" w:hint="default"/>
          <w:sz w:val="32"/>
          <w:szCs w:val="32"/>
        </w:rPr>
      </w:pPr>
      <w:r>
        <w:rPr>
          <w:rFonts w:ascii="Times New Roman" w:eastAsia="黑体" w:hAnsi="Times New Roman" w:cs="Times New Roman" w:hint="default"/>
          <w:sz w:val="32"/>
          <w:szCs w:val="32"/>
        </w:rPr>
        <w:t xml:space="preserve">二、绩效评价工作开展情况</w:t>
      </w:r>
    </w:p>
    <w:p>
      <w:pPr>
        <w:spacing w:line="560" w:lineRule="exact"/>
        <w:ind w:firstLine="640" w:firstLineChars="200"/>
        <w:rPr>
          <w:rFonts w:ascii="Times New Roman" w:eastAsia="楷体_GB2312" w:hAnsi="Times New Roman" w:cs="Times New Roman" w:hint="default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 w:hint="default"/>
          <w:b/>
          <w:bCs/>
          <w:sz w:val="32"/>
          <w:szCs w:val="32"/>
        </w:rPr>
        <w:t xml:space="preserve">（一）绩效评价目的、对象和范围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1.绩效评价完整性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2.绩效评价的目的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（1）评估项目实施效果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通过对项目预算执行情况及各项绩效目标达成程度的系统性分析，全面、客观地评估项目在预定周期内的实施效果，包括社会效益以及可持续性等多维度指标，为项目后续的改进与优化提供科学依据。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（2）提升资源利用效率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（3）强化项目管理责任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（4）为决策提供支持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（5）促进项目持续改进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>
      <w:pPr>
        <w:spacing w:line="560" w:lineRule="exact"/>
        <w:ind w:firstLine="640" w:firstLineChars="20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  <w:t xml:space="preserve">本项目预算绩效评价报告的编制以提升项目绩效为核心，旨在通过科学、严谨的评价工作，为项目管理与决策提供全方位、深层次的支持，推动项目在预算约束下实现高质量、可持续发展，充分发挥财政资金的社会效益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highlight w:val="none"/>
        </w:rPr>
      </w:pPr>
      <w:r>
        <w:rPr>
          <w:rFonts w:ascii="Times New Roman" w:eastAsia="仿宋_GB2312" w:hAnsi="Times New Roman" w:cs="Times New Roman" w:hint="default"/>
          <w:b w:val="0"/>
          <w:bCs w:val="0"/>
          <w:highlight w:val="none"/>
          <w:lang w:val="en-US" w:eastAsia="zh-CN"/>
        </w:rPr>
        <w:t xml:space="preserve">3</w:t>
      </w: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highlight w:val="none"/>
          <w:lang w:val="en-US" w:eastAsia="zh-CN"/>
        </w:rPr>
        <w:t xml:space="preserve">.</w:t>
      </w:r>
      <w:r>
        <w:rPr>
          <w:rFonts w:ascii="Times New Roman" w:eastAsia="仿宋_GB2312" w:hAnsi="Times New Roman" w:cs="Times New Roman" w:hint="default"/>
          <w:b w:val="0"/>
          <w:bCs w:val="0"/>
          <w:highlight w:val="none"/>
        </w:rPr>
        <w:t xml:space="preserve">绩效评价的对象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highlight w:val="none"/>
        </w:rPr>
      </w:pPr>
      <w:r>
        <w:rPr>
          <w:rFonts w:ascii="Times New Roman" w:eastAsia="仿宋_GB2312" w:hAnsi="Times New Roman" w:cs="Times New Roman" w:hint="default"/>
          <w:b w:val="0"/>
          <w:bCs w:val="0"/>
          <w:highlight w:val="none"/>
        </w:rPr>
        <w:t xml:space="preserve">本项目预算绩效评价报告的评价对象是</w:t>
      </w:r>
      <w:bookmarkStart w:id="9" w:name="OLE_LINK6"/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eastAsia="zh-CN"/>
        </w:rPr>
        <w:t xml:space="preserve">伊州财建【</w:t>
      </w:r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val="en-US" w:eastAsia="zh-CN"/>
        </w:rPr>
        <w:t xml:space="preserve">2024</w:t>
      </w:r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eastAsia="zh-CN"/>
        </w:rPr>
        <w:t xml:space="preserve">】</w:t>
      </w:r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val="en-US" w:eastAsia="zh-CN"/>
        </w:rPr>
        <w:t xml:space="preserve">81号地震重点危险区城镇住宅抗震安全排查整治</w:t>
      </w:r>
      <w:r>
        <w:rPr>
          <w:rFonts w:ascii="Times New Roman" w:eastAsia="仿宋_GB2312" w:hAnsi="Times New Roman" w:cs="Times New Roman" w:hint="default"/>
          <w:b w:val="0"/>
          <w:bCs w:val="0"/>
          <w:highlight w:val="none"/>
          <w:lang w:eastAsia="zh-CN"/>
        </w:rPr>
        <w:t xml:space="preserve">项目</w:t>
      </w:r>
      <w:bookmarkEnd w:id="9"/>
      <w:r>
        <w:rPr>
          <w:rFonts w:ascii="Times New Roman" w:eastAsia="仿宋_GB2312" w:hAnsi="Times New Roman" w:cs="Times New Roman" w:hint="default"/>
          <w:b w:val="0"/>
          <w:bCs w:val="0"/>
          <w:highlight w:val="none"/>
        </w:rPr>
        <w:t xml:space="preserve">及其预算执行情况。该项目由</w:t>
      </w:r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eastAsia="zh-CN"/>
        </w:rPr>
        <w:t xml:space="preserve">特克斯县住房和城乡建设局</w:t>
      </w:r>
      <w:r>
        <w:rPr>
          <w:rFonts w:ascii="Times New Roman" w:eastAsia="仿宋_GB2312" w:hAnsi="Times New Roman" w:cs="Times New Roman" w:hint="default"/>
          <w:b w:val="0"/>
          <w:bCs w:val="0"/>
          <w:highlight w:val="none"/>
        </w:rPr>
        <w:t xml:space="preserve">负责实施，旨在</w:t>
      </w:r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eastAsia="zh-CN"/>
        </w:rPr>
        <w:t xml:space="preserve">完成</w:t>
      </w:r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val="en-US" w:eastAsia="zh-CN"/>
        </w:rPr>
        <w:t xml:space="preserve">11034栋城镇住宅评估、4.19万平方米城镇住宅抗震鉴定，减轻地震灾害风险，切实保障人民群众生命财产安全</w:t>
      </w:r>
      <w:r>
        <w:rPr>
          <w:rFonts w:ascii="Times New Roman" w:eastAsia="仿宋_GB2312" w:hAnsi="Times New Roman" w:cs="Times New Roman" w:hint="default"/>
          <w:b w:val="0"/>
          <w:bCs w:val="0"/>
          <w:highlight w:val="none"/>
        </w:rPr>
        <w:t xml:space="preserve">。项目预算涵盖从</w:t>
      </w:r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val="en-US" w:eastAsia="zh-CN"/>
        </w:rPr>
        <w:t xml:space="preserve">2024年1月1日</w:t>
      </w:r>
      <w:r>
        <w:rPr>
          <w:rFonts w:ascii="Times New Roman" w:eastAsia="仿宋_GB2312" w:hAnsi="Times New Roman" w:cs="Times New Roman" w:hint="default"/>
          <w:b w:val="0"/>
          <w:bCs w:val="0"/>
          <w:highlight w:val="none"/>
        </w:rPr>
        <w:t xml:space="preserve">至</w:t>
      </w:r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val="en-US" w:eastAsia="zh-CN"/>
        </w:rPr>
        <w:t xml:space="preserve">2024年12月31日</w:t>
      </w:r>
      <w:r>
        <w:rPr>
          <w:rFonts w:ascii="Times New Roman" w:eastAsia="仿宋_GB2312" w:hAnsi="Times New Roman" w:cs="Times New Roman" w:hint="default"/>
          <w:b w:val="0"/>
          <w:bCs w:val="0"/>
          <w:highlight w:val="none"/>
        </w:rPr>
        <w:t xml:space="preserve">的全部资金投入与支出，涉及资金总额为</w:t>
      </w:r>
      <w:r>
        <w:rPr>
          <w:rFonts w:ascii="Times New Roman" w:eastAsia="仿宋_GB2312" w:hAnsi="Times New Roman" w:cs="Times New Roman" w:hint="eastAsia"/>
          <w:b w:val="0"/>
          <w:bCs w:val="0"/>
          <w:highlight w:val="none"/>
          <w:lang w:val="en-US" w:eastAsia="zh-CN"/>
        </w:rPr>
        <w:t xml:space="preserve">226.62</w:t>
      </w:r>
      <w:r>
        <w:rPr>
          <w:rFonts w:ascii="Times New Roman" w:eastAsia="仿宋_GB2312" w:hAnsi="Times New Roman" w:cs="Times New Roman" w:hint="default"/>
          <w:b w:val="0"/>
          <w:bCs w:val="0"/>
          <w:highlight w:val="none"/>
          <w:lang w:val="en-US" w:eastAsia="zh-CN"/>
        </w:rPr>
        <w:t xml:space="preserve">万</w:t>
      </w:r>
      <w:r>
        <w:rPr>
          <w:rFonts w:ascii="Times New Roman" w:eastAsia="仿宋_GB2312" w:hAnsi="Times New Roman" w:cs="Times New Roman" w:hint="default"/>
          <w:b w:val="0"/>
          <w:bCs w:val="0"/>
          <w:highlight w:val="none"/>
        </w:rPr>
        <w:t xml:space="preserve">元。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4.绩效评价的范围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本项目预算绩效评价报告的评价范围广泛而全面，涵盖了从项目立项至评价时点期间的所有关键预算活动和财务流程。具体而言，评价范围包括但不限于以下几个方面：</w:t>
      </w:r>
    </w:p>
    <w:p>
      <w:pPr>
        <w:pStyle w:val="Title"/>
        <w:widowControl w:val="0"/>
        <w:numPr>
          <w:ilvl w:val="0"/>
          <w:numId w:val="3"/>
        </w:numPr>
        <w:spacing w:before="0" w:after="0" w:line="560" w:lineRule="exact"/>
        <w:ind w:left="-10" w:firstLine="640" w:leftChars="0" w:firstLineChars="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项目预算编制与执行：全面审视项目预算的编制依据、合理性、科学性以及实际执行情况，包括预算调整的原因和效果。</w:t>
      </w:r>
    </w:p>
    <w:p>
      <w:pPr>
        <w:pStyle w:val="Title"/>
        <w:widowControl w:val="0"/>
        <w:numPr>
          <w:ilvl w:val="0"/>
          <w:numId w:val="3"/>
        </w:numPr>
        <w:spacing w:before="0" w:after="0" w:line="560" w:lineRule="exact"/>
        <w:ind w:left="-10" w:firstLine="640" w:leftChars="0" w:firstLineChars="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资金管理：深入分析项目资金的分配、使用和监管情况，确保资金使用的合规性、高效性和透明度。</w:t>
      </w:r>
    </w:p>
    <w:p>
      <w:pPr>
        <w:pStyle w:val="Title"/>
        <w:widowControl w:val="0"/>
        <w:numPr>
          <w:ilvl w:val="0"/>
          <w:numId w:val="3"/>
        </w:numPr>
        <w:spacing w:before="0" w:after="0" w:line="560" w:lineRule="exact"/>
        <w:ind w:left="-10" w:firstLine="640" w:leftChars="0" w:firstLineChars="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项目实施进度与产出：评估项目是否按照既定计划顺利推进，各项任务是否按时完成，以及项目产出的数量、质量和时效性是否符合预期。</w:t>
      </w:r>
    </w:p>
    <w:p>
      <w:pPr>
        <w:pStyle w:val="Title"/>
        <w:widowControl w:val="0"/>
        <w:numPr>
          <w:ilvl w:val="0"/>
          <w:numId w:val="3"/>
        </w:numPr>
        <w:spacing w:before="0" w:after="0" w:line="560" w:lineRule="exact"/>
        <w:ind w:left="-10" w:firstLine="640" w:leftChars="0" w:firstLineChars="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社会影响：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通过对城镇住宅进行抗震安全排查整治，能及时发现并消除房屋存在的抗震安全隐患，减少因地震可引发的房屋损毁增强社会稳定，提升城市形象和品质，提高群众抗震减灾意识，从而做到全面保障群众生命财产安全。</w:t>
      </w:r>
    </w:p>
    <w:p>
      <w:pPr>
        <w:spacing w:line="560" w:lineRule="exact"/>
        <w:ind w:firstLine="640" w:firstLineChars="200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  <w:b/>
          <w:bCs/>
          <w:sz w:val="32"/>
          <w:szCs w:val="32"/>
        </w:rPr>
        <w:t xml:space="preserve">（二）绩效评价原则、评价指标体系（详情见表1）、评价方法、评价标准。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10" w:name="OLE_LINK20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1.绩效评价原则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本次项目绩效评价遵循以下基本原则：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（1）科学公正。绩效评价应当运用科学合理的方法，按照规范的程序，对项目绩效进行客观、公正的反映。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（4）公开透明。绩效评价结果应依法依规公开，并自觉接受社会监督。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2.评价指标体系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绩效评价框架是开展绩效评价的核心。绩效评价框架包括评价准则、关键评价问题、评价指标、数据来源、数据收集方法等。指标体系建立过程如下：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（1）确定评价指标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（2）确定权重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确定各个指标相对于项目总体绩效的权重分值。在绩效评价指标体系中，项目决策权重为20分，项目过程权重为20分，项目产出权重为40分，项目效益权重为20分。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（3）确定指标标准值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绩效评价总分值100分，根据综合评分结果，90（含）-100分为优、80（含）-90分为良、60（含）-80分为中、60分以下为差。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具体评价指标体系详情见附件1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3.绩效评价方法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绩效评价从项目决策、项目过程、项目产出、项目效益四个维度进行评价。评价对象为项目目标实施情况，  评价核心为资金的支出完成情况和项目的产出效益。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本次评价指标中，既有定性指标又有定量指标，各类指标因考核内容不同和客观标准不同存在较大差异，因此核定具体指标时采用了不同方法，具体评价方法如下：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11" w:name="OLE_LINK33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因素分析法。是指综合分析影响绩效目标实现、实施效果的内外部因素的方法。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本项目采取因素分析法主要因为城镇住宅抗震安全受多种因素影响，如建筑年代、结构类型、地质条件、使用情况等。因素分析法可全面考虑这些因素，对住宅抗震安全状况进行综合评估，避免遗漏重要信息。</w:t>
      </w:r>
      <w:bookmarkEnd w:id="11"/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4.评价标准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绩效评价标准通常包括计划标准、行业标准、历史标准等，用于对绩效指标完成情况进行比较、分析、评价。本次评价主要采用了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计划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标准。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（1）计划标准。指以预先制定的目标、计划、预算、定额等作为评价标准。</w:t>
      </w:r>
      <w:bookmarkEnd w:id="10"/>
    </w:p>
    <w:p>
      <w:pPr>
        <w:pStyle w:val="Title"/>
        <w:numPr>
          <w:ilvl w:val="0"/>
          <w:numId w:val="6"/>
        </w:numPr>
        <w:spacing w:before="0" w:after="0" w:line="560" w:lineRule="exact"/>
        <w:ind w:firstLine="640" w:firstLineChars="200"/>
        <w:jc w:val="both"/>
        <w:rPr>
          <w:rFonts w:ascii="Times New Roman" w:eastAsia="楷体" w:hAnsi="Times New Roman" w:cs="Times New Roman" w:hint="default"/>
          <w:color w:val="000000"/>
          <w:spacing w:val="17"/>
        </w:rPr>
      </w:pPr>
      <w:r>
        <w:rPr>
          <w:rFonts w:ascii="Times New Roman" w:eastAsia="楷体" w:hAnsi="Times New Roman" w:cs="Times New Roman" w:hint="default"/>
          <w:color w:val="000000"/>
          <w:spacing w:val="17"/>
        </w:rPr>
        <w:t xml:space="preserve">绩效评价工作过程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（1）前期准备与规划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（2）指标体系构建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（3）数据收集与整理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（4）数据分析与评估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（5）报告撰写与反馈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（6）后续跟踪与改进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>
      <w:pPr>
        <w:numPr>
          <w:ilvl w:val="0"/>
          <w:numId w:val="5"/>
        </w:numPr>
        <w:spacing w:line="560" w:lineRule="exact"/>
        <w:ind w:firstLine="640" w:firstLineChars="200"/>
        <w:rPr>
          <w:rFonts w:ascii="Times New Roman" w:eastAsia="黑体" w:hAnsi="Times New Roman" w:cs="Times New Roman" w:hint="default"/>
          <w:sz w:val="32"/>
          <w:szCs w:val="32"/>
        </w:rPr>
      </w:pPr>
      <w:r>
        <w:rPr>
          <w:rFonts w:ascii="Times New Roman" w:eastAsia="黑体" w:hAnsi="Times New Roman" w:cs="Times New Roman" w:hint="default"/>
          <w:sz w:val="32"/>
          <w:szCs w:val="32"/>
        </w:rPr>
        <w:t xml:space="preserve">综合评价情况及评价结论（附相关评分表）</w:t>
      </w:r>
    </w:p>
    <w:p>
      <w:pPr>
        <w:pStyle w:val="Title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ascii="Times New Roman" w:eastAsia="楷体_GB2312" w:hAnsi="Times New Roman" w:cs="Times New Roman" w:hint="default"/>
          <w:lang w:val="en-US" w:eastAsia="zh-CN"/>
        </w:rPr>
      </w:pPr>
      <w:bookmarkStart w:id="12" w:name="OLE_LINK22"/>
      <w:r>
        <w:rPr>
          <w:rFonts w:ascii="Times New Roman" w:eastAsia="楷体_GB2312" w:hAnsi="Times New Roman" w:cs="Times New Roman" w:hint="default"/>
          <w:lang w:eastAsia="zh-CN"/>
        </w:rPr>
        <w:t xml:space="preserve">（</w:t>
      </w:r>
      <w:r>
        <w:rPr>
          <w:rFonts w:ascii="Times New Roman" w:eastAsia="楷体_GB2312" w:hAnsi="Times New Roman" w:cs="Times New Roman" w:hint="default"/>
          <w:lang w:val="en-US" w:eastAsia="zh-CN"/>
        </w:rPr>
        <w:t xml:space="preserve">一</w:t>
      </w:r>
      <w:r>
        <w:rPr>
          <w:rFonts w:ascii="Times New Roman" w:eastAsia="楷体_GB2312" w:hAnsi="Times New Roman" w:cs="Times New Roman" w:hint="default"/>
          <w:lang w:eastAsia="zh-CN"/>
        </w:rPr>
        <w:t xml:space="preserve">）</w:t>
      </w:r>
      <w:r>
        <w:rPr>
          <w:rFonts w:ascii="Times New Roman" w:eastAsia="楷体_GB2312" w:hAnsi="Times New Roman" w:cs="Times New Roman" w:hint="default"/>
          <w:lang w:val="en-US" w:eastAsia="zh-CN"/>
        </w:rPr>
        <w:t xml:space="preserve">评价情况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本项目的综合评价基于对项目各方面绩效的深入分析与评估。从项目目标的达成情况来看，</w:t>
      </w:r>
      <w:bookmarkStart w:id="13" w:name="OLE_LINK7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伊州财建【2024】81号地震重点危险区城镇住宅抗震安全排查整治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</w:t>
      </w:r>
      <w:bookmarkEnd w:id="13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在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城镇住宅抗震安全排查评估、项目按计划完成率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等方面表现出色，达到了预期的标准与要求。同时，项目也在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全面了解城镇安全情况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取得了显著的成效，如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做到了全面了解城镇住宅抗震安全性，及时发现安全隐患，为后续消除安全隐患奠定基础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在项目管理方面，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特克斯县住房和城乡建设局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通过有效的规划、组织与协调，项目得以顺利实施，并在预算与时间上保持了良好的控制。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从项目效益的角度来看，本项目不仅实现了预期的社会效益等方面产生了积极的影响。具体而言，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全面了解城镇安全情况、有效减少减少房屋倒塌和损坏风险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等方面的提升，为项目的利益相关者带来了实实在在的利益。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综上所述，</w:t>
      </w:r>
      <w:bookmarkStart w:id="14" w:name="OLE_LINK17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伊州财建【2024】81号地震重点危险区城镇住宅抗震安全排查整治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</w:t>
      </w:r>
      <w:bookmarkEnd w:id="14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在绩效评价中表现出色，达到了项目的预期目标，并在多个方面取得了显著的成效。</w:t>
      </w:r>
    </w:p>
    <w:p>
      <w:pPr>
        <w:pStyle w:val="Title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ascii="Times New Roman" w:eastAsia="楷体_GB2312" w:hAnsi="Times New Roman" w:cs="Times New Roman" w:hint="default"/>
          <w:lang w:val="en-US" w:eastAsia="zh-CN"/>
        </w:rPr>
      </w:pPr>
      <w:r>
        <w:rPr>
          <w:rFonts w:ascii="Times New Roman" w:eastAsia="楷体_GB2312" w:hAnsi="Times New Roman" w:cs="Times New Roman" w:hint="default"/>
          <w:lang w:eastAsia="zh-CN"/>
        </w:rPr>
        <w:t xml:space="preserve">（</w:t>
      </w:r>
      <w:r>
        <w:rPr>
          <w:rFonts w:ascii="Times New Roman" w:eastAsia="楷体_GB2312" w:hAnsi="Times New Roman" w:cs="Times New Roman" w:hint="default"/>
          <w:lang w:val="en-US" w:eastAsia="zh-CN"/>
        </w:rPr>
        <w:t xml:space="preserve">二</w:t>
      </w:r>
      <w:r>
        <w:rPr>
          <w:rFonts w:ascii="Times New Roman" w:eastAsia="楷体_GB2312" w:hAnsi="Times New Roman" w:cs="Times New Roman" w:hint="default"/>
          <w:lang w:eastAsia="zh-CN"/>
        </w:rPr>
        <w:t xml:space="preserve">）</w:t>
      </w:r>
      <w:r>
        <w:rPr>
          <w:rFonts w:ascii="Times New Roman" w:eastAsia="楷体_GB2312" w:hAnsi="Times New Roman" w:cs="Times New Roman" w:hint="default"/>
          <w:lang w:val="en-US" w:eastAsia="zh-CN"/>
        </w:rPr>
        <w:t xml:space="preserve">评价结论</w:t>
      </w:r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97.99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分，属于“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优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”。其中，项目决策类指标权重为20分，得分为 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%。项目过程类指标权重为20分，得分为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19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95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%。项目产出类指标权重为40分，得分为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38.99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 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97.47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%。项目效益类指标权重为20分，得分为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%。</w:t>
      </w:r>
      <w:bookmarkEnd w:id="12"/>
    </w:p>
    <w:p>
      <w:pPr>
        <w:pStyle w:val="Title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eastAsia="仿宋_GB2312" w:hAnsi="Times New Roman" w:cs="Times New Roman" w:hint="default"/>
          <w:b w:val="0"/>
          <w:bCs w:val="0"/>
          <w:lang w:eastAsia="zh-CN"/>
        </w:rPr>
      </w:pPr>
      <w:r>
        <w:rPr>
          <w:rFonts w:ascii="Times New Roman" w:eastAsia="仿宋_GB2312" w:hAnsi="Times New Roman" w:cs="Times New Roman" w:hint="default"/>
          <w:b w:val="0"/>
          <w:bCs w:val="0"/>
        </w:rPr>
        <w:t xml:space="preserve">具体打分情况详见：附件1综合评分表</w:t>
      </w:r>
      <w:r>
        <w:rPr>
          <w:rFonts w:ascii="Times New Roman" w:eastAsia="仿宋_GB2312" w:hAnsi="Times New Roman" w:cs="Times New Roman" w:hint="default"/>
          <w:b w:val="0"/>
          <w:bCs w:val="0"/>
          <w:lang w:eastAsia="zh-CN"/>
        </w:rPr>
        <w:t xml:space="preserve">。</w:t>
      </w:r>
    </w:p>
    <w:p>
      <w:pPr>
        <w:pStyle w:val="Title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ascii="Times New Roman" w:eastAsia="仿宋_GB2312" w:hAnsi="Times New Roman" w:cs="Times New Roman" w:hint="default"/>
          <w:sz w:val="21"/>
          <w:szCs w:val="21"/>
        </w:rPr>
      </w:pPr>
      <w:r>
        <w:rPr>
          <w:rFonts w:ascii="Times New Roman" w:eastAsia="仿宋_GB2312" w:hAnsi="Times New Roman" w:cs="Times New Roman" w:hint="default"/>
          <w:sz w:val="21"/>
          <w:szCs w:val="21"/>
        </w:rPr>
        <w:t xml:space="preserve">表1综合评分表</w:t>
      </w:r>
    </w:p>
    <w:tbl>
      <w:tblPr>
        <w:tblStyle w:val="NormalTable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3137"/>
        <w:gridCol w:w="2168"/>
        <w:gridCol w:w="2278"/>
      </w:tblGrid>
      <w:tr>
        <w:tblPrEx>
          <w:tblW w:w="758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  <w:tblHeader/>
          <w:jc w:val="center"/>
        </w:trPr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</w:rPr>
              <w:t xml:space="preserve">一级指标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</w:rPr>
              <w:t xml:space="preserve">权重分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</w:rPr>
              <w:t xml:space="preserve">得分</w:t>
            </w:r>
          </w:p>
        </w:tc>
      </w:tr>
      <w:tr>
        <w:tblPrEx>
          <w:tblW w:w="758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  <w:jc w:val="center"/>
        </w:trPr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</w:rPr>
              <w:t xml:space="preserve"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20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eastAsia="仿宋_GB2312" w:cs="Times New Roman" w:hint="eastAsia"/>
                <w:color w:val="000000"/>
                <w:sz w:val="21"/>
                <w:szCs w:val="21"/>
                <w:lang w:val="en-US" w:eastAsia="zh-CN"/>
              </w:rPr>
              <w:t xml:space="preserve">20</w:t>
            </w:r>
          </w:p>
        </w:tc>
      </w:tr>
      <w:tr>
        <w:tblPrEx>
          <w:tblW w:w="758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  <w:jc w:val="center"/>
        </w:trPr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</w:rPr>
              <w:t xml:space="preserve"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20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eastAsia="仿宋_GB2312" w:cs="Times New Roman" w:hint="eastAsia"/>
                <w:color w:val="000000"/>
                <w:sz w:val="21"/>
                <w:szCs w:val="21"/>
                <w:lang w:val="en-US" w:eastAsia="zh-CN"/>
              </w:rPr>
              <w:t xml:space="preserve">19</w:t>
            </w:r>
          </w:p>
        </w:tc>
      </w:tr>
      <w:tr>
        <w:tblPrEx>
          <w:tblW w:w="758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  <w:jc w:val="center"/>
        </w:trPr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</w:rPr>
              <w:t xml:space="preserve"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40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eastAsia="仿宋_GB2312" w:cs="Times New Roman" w:hint="eastAsia"/>
                <w:color w:val="000000"/>
                <w:sz w:val="21"/>
                <w:szCs w:val="21"/>
                <w:lang w:val="en-US" w:eastAsia="zh-CN"/>
              </w:rPr>
              <w:t xml:space="preserve">38.99</w:t>
            </w:r>
          </w:p>
        </w:tc>
      </w:tr>
      <w:tr>
        <w:tblPrEx>
          <w:tblW w:w="758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  <w:jc w:val="center"/>
        </w:trPr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</w:rPr>
              <w:t xml:space="preserve"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  <w:t xml:space="preserve">20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eastAsia="仿宋_GB2312" w:cs="Times New Roman" w:hint="eastAsia"/>
                <w:color w:val="000000"/>
                <w:sz w:val="21"/>
                <w:szCs w:val="21"/>
                <w:lang w:val="en-US" w:eastAsia="zh-CN"/>
              </w:rPr>
              <w:t xml:space="preserve">20</w:t>
            </w:r>
          </w:p>
        </w:tc>
      </w:tr>
      <w:tr>
        <w:tblPrEx>
          <w:tblW w:w="758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  <w:jc w:val="center"/>
        </w:trPr>
        <w:tc>
          <w:tcPr>
            <w:tcW w:w="3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</w:rPr>
              <w:t xml:space="preserve"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仿宋_GB2312" w:hAnsi="Times New Roman" w:cs="Times New Roman" w:hint="default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eastAsia="仿宋_GB2312" w:cs="Times New Roman" w:hint="eastAsia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97.99</w:t>
            </w:r>
          </w:p>
        </w:tc>
      </w:tr>
    </w:tbl>
    <w:p>
      <w:pPr>
        <w:spacing w:line="560" w:lineRule="exact"/>
        <w:ind w:firstLine="640" w:firstLineChars="200"/>
        <w:rPr>
          <w:rFonts w:ascii="Times New Roman" w:eastAsia="黑体" w:hAnsi="Times New Roman" w:cs="Times New Roman" w:hint="default"/>
          <w:sz w:val="32"/>
          <w:szCs w:val="32"/>
        </w:rPr>
      </w:pPr>
      <w:r>
        <w:rPr>
          <w:rFonts w:ascii="Times New Roman" w:eastAsia="黑体" w:hAnsi="Times New Roman" w:cs="Times New Roman" w:hint="default"/>
          <w:sz w:val="32"/>
          <w:szCs w:val="32"/>
        </w:rPr>
        <w:t xml:space="preserve">四、绩效评价指标分析</w:t>
      </w:r>
    </w:p>
    <w:p>
      <w:pPr>
        <w:pStyle w:val="Title"/>
        <w:spacing w:before="0" w:after="0" w:line="560" w:lineRule="exact"/>
        <w:ind w:firstLine="640" w:firstLineChars="200"/>
        <w:jc w:val="both"/>
        <w:rPr>
          <w:rFonts w:ascii="Times New Roman" w:eastAsia="楷体_GB2312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 xml:space="preserve">（一）项目决策情况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15" w:name="OLE_LINK23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项目决策类指标包括项目立项、绩效目标和资金投入三方面的内容，由6个三级指标构成，权重分值为20分，实际得分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%。</w:t>
      </w:r>
    </w:p>
    <w:p>
      <w:pPr>
        <w:pStyle w:val="闻政-正文段落文字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leftChars="0" w:firstLineChars="0"/>
        <w:textAlignment w:val="auto"/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  <w:t xml:space="preserve">1.项目立项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lang w:val="en-US" w:eastAsia="zh-CN"/>
        </w:rPr>
        <w:t xml:space="preserve">（1）立项依据充分性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32"/>
          <w:szCs w:val="32"/>
          <w:lang w:val="en-US" w:eastAsia="zh-CN"/>
        </w:rPr>
        <w:t xml:space="preserve">（2）立项程序规范性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项目申请、设立过程符合相关要求，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bidi="ar-SA"/>
        </w:rPr>
        <w:t xml:space="preserve">严格按照审批流程准备符合要求的文件、材料；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>
      <w:pPr>
        <w:pStyle w:val="闻政-正文段落文字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leftChars="0" w:firstLineChars="0"/>
        <w:textAlignment w:val="auto"/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  <w:t xml:space="preserve">2.绩效目标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（1）绩效目标合理性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bidi="ar-SA"/>
        </w:rPr>
        <w:t xml:space="preserve">年初结合实际工作内容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设定绩效目标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bidi="ar-SA"/>
        </w:rPr>
        <w:t xml:space="preserve">，绩效目标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（2）绩效指标明确性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项目设置了明确的预期产出效益和效果，将绩效目标细化分解为具体的绩效指标，绩效目标与项目目标任务数相对应，绩效目标设定的绩效指标清晰、细化、可衡量。</w:t>
      </w:r>
    </w:p>
    <w:p>
      <w:pPr>
        <w:pStyle w:val="闻政-正文段落文字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leftChars="0" w:firstLineChars="0"/>
        <w:textAlignment w:val="auto"/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  <w:t xml:space="preserve">3.资金投入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（1）预算编制科学性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在预算编制过程中，还注重了成本控制与效益最大化的原则。通过优化资源配置、提高资金使用效率等措施，确保项目在有限的预算内取得最大的社会效益。此外，预算编制还充分考虑了风险因素，对可能出现的超支情况进行了预留与规划，以应对项目实施过程中的不确定性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（2）资金分配合理性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bookmarkEnd w:id="15"/>
    </w:p>
    <w:p>
      <w:pPr>
        <w:pStyle w:val="Title"/>
        <w:numPr>
          <w:ilvl w:val="0"/>
          <w:numId w:val="7"/>
        </w:numPr>
        <w:spacing w:before="0" w:after="0" w:line="560" w:lineRule="exact"/>
        <w:ind w:firstLine="640" w:firstLineChars="200"/>
        <w:jc w:val="both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default"/>
        </w:rPr>
        <w:t xml:space="preserve">项目过程情况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16" w:name="OLE_LINK24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项目过程类指标包括资金管理和组织实施两方面的内容，由5个三级指标构成，权重分值为20分，实际得分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19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95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%。</w:t>
      </w:r>
    </w:p>
    <w:p>
      <w:pPr>
        <w:pStyle w:val="闻政-正文段落文字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leftChars="0" w:firstLineChars="0"/>
        <w:textAlignment w:val="auto"/>
        <w:rPr>
          <w:rFonts w:ascii="Times New Roman" w:eastAsia="仿宋_GB2312" w:hAnsi="Times New Roman" w:cs="Times New Roman" w:hint="default"/>
          <w:b/>
          <w:bCs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highlight w:val="none"/>
          <w:lang w:val="en-US" w:eastAsia="zh-CN"/>
        </w:rPr>
        <w:t xml:space="preserve">1.资金管理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（1）资金到位率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本项目总投资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252.11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万元，财政资金及时足额到位，到位率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%，预算资金按计划进度执行。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（2）预算执行率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预算编制较为详细，项目资金支出总体能够按照预算执行，预算资金支出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226.62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万元，预算执行率为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89.89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（3）资金使用合规性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>
      <w:pPr>
        <w:pStyle w:val="闻政-正文段落文字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leftChars="0" w:firstLineChars="0"/>
        <w:textAlignment w:val="auto"/>
        <w:rPr>
          <w:rFonts w:ascii="Times New Roman" w:eastAsia="仿宋_GB2312" w:hAnsi="Times New Roman" w:cs="Times New Roman" w:hint="default"/>
          <w:b/>
          <w:bCs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highlight w:val="none"/>
          <w:lang w:val="en-US" w:eastAsia="zh-CN"/>
        </w:rPr>
        <w:t xml:space="preserve">2.组织实施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（1）管理制度健全性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在制度设计上，我们注重了制度的科学性与可操作性，确保制度能够切实指导项目的执行与管理。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（2）制度执行有效性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综上所述，本项目的管理制度在执行过程中表现出了高度的有效性，既确保了项目的顺利进行，又实现了项目目标的有效达成。</w:t>
      </w:r>
      <w:bookmarkEnd w:id="16"/>
    </w:p>
    <w:p>
      <w:pPr>
        <w:pStyle w:val="BodyTextFirstIndent"/>
        <w:numPr>
          <w:ilvl w:val="0"/>
          <w:numId w:val="7"/>
        </w:numPr>
        <w:spacing w:line="560" w:lineRule="exact"/>
        <w:ind w:firstLine="643"/>
        <w:rPr>
          <w:rFonts w:ascii="Times New Roman" w:eastAsia="楷体_GB2312" w:hAnsi="Times New Roman" w:cs="Times New Roman" w:hint="default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 w:hint="default"/>
          <w:b/>
          <w:bCs/>
          <w:sz w:val="32"/>
          <w:szCs w:val="32"/>
        </w:rPr>
        <w:t xml:space="preserve">项目产出</w:t>
      </w:r>
      <w:r>
        <w:rPr>
          <w:rFonts w:ascii="Times New Roman" w:eastAsia="楷体_GB2312" w:hAnsi="Times New Roman" w:cs="Times New Roman" w:hint="default"/>
          <w:b/>
          <w:bCs/>
          <w:sz w:val="32"/>
          <w:szCs w:val="32"/>
          <w:lang w:val="en-US" w:eastAsia="zh-CN"/>
        </w:rPr>
        <w:t xml:space="preserve">情况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项目产出类指标包括产出数量、产出质量、产出时效、产出成本四方面的内容，由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6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个三级指标构成，权重分为40分，实际得分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38.99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97.47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%。具体产出指标完成情况如下：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instrText xml:space="preserve"> = 1 \* GB3 </w:instrTex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①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数量指标：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17" w:name="OLE_LINK8"/>
      <w:bookmarkStart w:id="18" w:name="OLE_LINK9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指标1：</w:t>
      </w:r>
      <w:bookmarkStart w:id="19" w:name="OLE_LINK21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城镇住宅抗震安全排查评估</w:t>
      </w:r>
      <w:bookmarkEnd w:id="19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=11034栋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，实际完成值：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=11034栋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，指标完成率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</w:t>
      </w:r>
      <w:bookmarkEnd w:id="17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。</w:t>
      </w:r>
      <w:bookmarkEnd w:id="18"/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指标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抗震鉴定住宅面积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=4.19万平方米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，实际完成值：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=4.19万平方米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，指标完成率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instrText xml:space="preserve"> = 2 \* GB3 </w:instrTex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②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质量指标：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20" w:name="OLE_LINK10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指标1：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资金支付准确率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=100%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，实际完成值：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89.89%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，指标完成率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89.89%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，偏差原因：</w:t>
      </w:r>
      <w:bookmarkStart w:id="21" w:name="OLE_LINK28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因上级验收工作还未完成，暂未完成全部资金支付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。</w:t>
      </w:r>
      <w:bookmarkEnd w:id="20"/>
      <w:bookmarkEnd w:id="21"/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instrText xml:space="preserve"> = 3 \* GB3 </w:instrTex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③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时效指标：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22" w:name="OLE_LINK11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指标1：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项目按计划完成率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=100%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，实际完成值：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100%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，指标完成率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100%</w:t>
      </w:r>
      <w:bookmarkEnd w:id="22"/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instrText xml:space="preserve"> = 4 \* GB3 </w:instrTex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④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成本指标：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23" w:name="OLE_LINK14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指标1：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排查评估标准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，指标值：</w:t>
      </w:r>
      <w:bookmarkStart w:id="24" w:name="OLE_LINK12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≤200元/栋</w:t>
      </w:r>
      <w:bookmarkEnd w:id="24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，实际完成值：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200元/栋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，指标完成率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100%。</w:t>
      </w:r>
      <w:bookmarkEnd w:id="23"/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color w:val="FF0000"/>
          <w:sz w:val="32"/>
          <w:szCs w:val="32"/>
          <w:highlight w:val="none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指标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抗震鉴定费用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=</w:t>
      </w:r>
      <w:bookmarkStart w:id="25" w:name="OLE_LINK13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7.50元/平方米</w:t>
      </w:r>
      <w:bookmarkEnd w:id="25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，实际完成值：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7.5元/平方米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，指标完成率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100%。</w:t>
      </w:r>
    </w:p>
    <w:p>
      <w:pPr>
        <w:pStyle w:val="BodyTextFirstIndent"/>
        <w:numPr>
          <w:ilvl w:val="0"/>
          <w:numId w:val="7"/>
        </w:numPr>
        <w:spacing w:line="560" w:lineRule="exact"/>
        <w:ind w:firstLine="643"/>
        <w:rPr>
          <w:rFonts w:ascii="Times New Roman" w:eastAsia="楷体_GB2312" w:hAnsi="Times New Roman" w:cs="Times New Roman" w:hint="default"/>
          <w:b/>
          <w:bCs/>
          <w:sz w:val="32"/>
          <w:szCs w:val="32"/>
          <w:lang w:val="en-US" w:eastAsia="zh-CN"/>
        </w:rPr>
      </w:pPr>
      <w:r>
        <w:rPr>
          <w:rFonts w:ascii="Times New Roman" w:eastAsia="楷体_GB2312" w:hAnsi="Times New Roman" w:cs="Times New Roman" w:hint="default"/>
          <w:b/>
          <w:bCs/>
          <w:sz w:val="32"/>
          <w:szCs w:val="32"/>
          <w:lang w:val="en-US" w:eastAsia="zh-CN"/>
        </w:rPr>
        <w:t xml:space="preserve">项目效益情况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项目效益类指标包括项目实施效益和满意度两方面的内容，由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个三级指标构成，权重分为20分，实际得分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%。具体效益指标及满意度指标完成情况如下：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1.实施效益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①社会效益指标：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26" w:name="OLE_LINK16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指标1：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全面了解城镇安全情况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，指标值：</w:t>
      </w:r>
      <w:bookmarkStart w:id="27" w:name="OLE_LINK15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有效了解</w:t>
      </w:r>
      <w:bookmarkEnd w:id="27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，实际完成值：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有效了解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，指标完成率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100%。</w:t>
      </w:r>
      <w:bookmarkEnd w:id="26"/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2.满意度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指标1：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城镇群众满意度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≥90%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，实际完成值：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90%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，指标完成率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100%。</w:t>
      </w:r>
    </w:p>
    <w:p>
      <w:pPr>
        <w:spacing w:line="560" w:lineRule="exact"/>
        <w:ind w:firstLine="640" w:firstLineChars="200"/>
        <w:rPr>
          <w:rFonts w:ascii="Times New Roman" w:eastAsia="楷体_GB2312" w:hAnsi="Times New Roman" w:cs="Times New Roman" w:hint="default"/>
          <w:b/>
          <w:bCs/>
          <w:sz w:val="32"/>
          <w:szCs w:val="32"/>
          <w:lang w:val="en-US"/>
        </w:rPr>
      </w:pPr>
      <w:r>
        <w:rPr>
          <w:rFonts w:ascii="Times New Roman" w:eastAsia="楷体_GB2312" w:hAnsi="Times New Roman" w:cs="Times New Roman" w:hint="default"/>
          <w:b/>
          <w:bCs/>
          <w:sz w:val="32"/>
          <w:szCs w:val="32"/>
          <w:lang w:val="en-US" w:eastAsia="zh-CN"/>
        </w:rPr>
        <w:t xml:space="preserve">（五）</w:t>
      </w:r>
      <w:r>
        <w:rPr>
          <w:rFonts w:ascii="Times New Roman" w:eastAsia="楷体_GB2312" w:hAnsi="Times New Roman" w:cs="Times New Roman" w:hint="default"/>
          <w:b/>
          <w:bCs/>
          <w:sz w:val="32"/>
          <w:szCs w:val="32"/>
          <w:lang w:val="en-US"/>
        </w:rPr>
        <w:t xml:space="preserve">预算执行进度与绩效指标总体完成率偏差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28" w:name="OLE_LINK18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伊州财建【2024】81号地震重点危险区城镇住宅抗震安全排查整治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项目</w:t>
      </w:r>
      <w:bookmarkEnd w:id="28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年初预算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252.11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万元，全年预算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252.11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万元，实际支出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226.62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万元，预算执行率为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89.89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%，项目绩效指标总体完成率为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98.74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%，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bidi="ar-SA"/>
        </w:rPr>
        <w:t xml:space="preserve">总体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偏差率为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1.26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%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bidi="ar-SA"/>
        </w:rPr>
        <w:t xml:space="preserve">偏差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原因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因上级验收还未完成，暂未完成全部资金支付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，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bidi="ar-SA"/>
        </w:rPr>
        <w:t xml:space="preserve">改进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措施</w:t>
      </w:r>
      <w:bookmarkStart w:id="29" w:name="OLE_LINK29"/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待上级验收完成后，及时支付全部资金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。</w:t>
      </w:r>
      <w:bookmarkEnd w:id="29"/>
    </w:p>
    <w:p>
      <w:pPr>
        <w:spacing w:line="560" w:lineRule="exact"/>
        <w:ind w:firstLine="640" w:firstLineChars="200"/>
        <w:rPr>
          <w:rStyle w:val="fontstyle01"/>
          <w:rFonts w:ascii="Times New Roman" w:hAnsi="Times New Roman" w:cs="Times New Roman" w:hint="default"/>
          <w:color w:val="auto"/>
        </w:rPr>
      </w:pPr>
      <w:r>
        <w:rPr>
          <w:rFonts w:eastAsia="黑体" w:cs="Times New Roman" w:hint="eastAsia"/>
          <w:sz w:val="32"/>
          <w:szCs w:val="32"/>
          <w:lang w:val="en-US" w:eastAsia="zh-CN"/>
        </w:rPr>
        <w:t xml:space="preserve">五</w:t>
      </w: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  <w:t xml:space="preserve">.</w:t>
      </w:r>
      <w:r>
        <w:rPr>
          <w:rFonts w:ascii="Times New Roman" w:eastAsia="黑体" w:hAnsi="Times New Roman" w:cs="Times New Roman" w:hint="default"/>
          <w:sz w:val="32"/>
          <w:szCs w:val="32"/>
        </w:rPr>
        <w:t xml:space="preserve">主要经验及做法、存在的问题及原因分析</w:t>
      </w:r>
    </w:p>
    <w:p>
      <w:pPr>
        <w:spacing w:line="560" w:lineRule="exact"/>
        <w:ind w:firstLine="640" w:firstLineChars="200"/>
        <w:rPr>
          <w:rFonts w:ascii="Times New Roman" w:eastAsia="楷体" w:hAnsi="Times New Roman" w:cs="Times New Roman" w:hint="default"/>
          <w:b/>
          <w:spacing w:val="-4"/>
          <w:sz w:val="32"/>
          <w:szCs w:val="32"/>
        </w:rPr>
      </w:pPr>
      <w:r>
        <w:rPr>
          <w:rFonts w:ascii="Times New Roman" w:eastAsia="楷体" w:hAnsi="Times New Roman" w:cs="Times New Roman" w:hint="default"/>
          <w:b/>
          <w:spacing w:val="-4"/>
          <w:sz w:val="32"/>
          <w:szCs w:val="32"/>
        </w:rPr>
        <w:t xml:space="preserve">（一）主要经验及做法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严格坚持先做事、后验收、再拨付的原则，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杜绝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eastAsia="楷体_GB2312" w:hAnsi="Times New Roman" w:cs="Times New Roman" w:hint="default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 w:hint="default"/>
          <w:b/>
          <w:bCs/>
          <w:sz w:val="32"/>
          <w:szCs w:val="32"/>
        </w:rPr>
        <w:t xml:space="preserve">存在的问题及原因分析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1.相关绩效管理方面专业知识的系统性学习有待加强。各项指标的设置要进一步优化、完善，主要在细化、量化上改进。在绩效自评过程中，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由于部分人员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缺乏相关绩效管理专业知识，自评价工作还存在自我审定的局限性，影响评价质量。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2.因轮岗、调动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等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因素使</w:t>
      </w:r>
      <w:bookmarkStart w:id="30" w:name="_GoBack"/>
      <w:bookmarkEnd w:id="30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我单位绩效工作人员流动频繁，</w:t>
      </w:r>
      <w:r>
        <w:rPr>
          <w:rFonts w:ascii="Times New Roman" w:eastAsia="仿宋_GB2312" w:hAnsi="Times New Roman" w:cs="Times New Roman" w:hint="eastAsia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造成</w:t>
      </w: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工作衔接不到位的情况。</w:t>
      </w:r>
    </w:p>
    <w:p>
      <w:pPr>
        <w:spacing w:line="560" w:lineRule="exact"/>
        <w:ind w:firstLine="640" w:firstLineChars="200"/>
        <w:rPr>
          <w:rFonts w:ascii="Times New Roman" w:eastAsia="黑体" w:hAnsi="Times New Roman" w:cs="Times New Roman" w:hint="default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六</w:t>
      </w: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 xml:space="preserve">.</w:t>
      </w:r>
      <w:r>
        <w:rPr>
          <w:rFonts w:ascii="Times New Roman" w:eastAsia="黑体" w:hAnsi="Times New Roman" w:cs="Times New Roman" w:hint="default"/>
          <w:sz w:val="32"/>
          <w:szCs w:val="32"/>
        </w:rPr>
        <w:t xml:space="preserve">有关建议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bookmarkStart w:id="31" w:name="OLE_LINK25"/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1.多进行有关绩效管理工作方面的培训。积极组织第三方开展绩效管理工作培训，进一步夯实业务基础，提高我单位绩效人员水平。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2.专门设定对绩效工作人员定职、定岗、定责等相关制度措施，进一步提升我单位绩效管理工作业务水平，扎实做好绩效管理工作。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eastAsia="仿宋_GB2312" w:hAnsi="Times New Roman" w:cs="Times New Roman" w:hint="default"/>
          <w:sz w:val="32"/>
          <w:szCs w:val="32"/>
          <w:highlight w:val="none"/>
          <w:lang w:val="en-US" w:eastAsia="zh-CN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  <w:bookmarkEnd w:id="31"/>
    </w:p>
    <w:p>
      <w:pPr>
        <w:spacing w:line="560" w:lineRule="exact"/>
        <w:ind w:firstLine="640" w:firstLineChars="200"/>
        <w:rPr>
          <w:rFonts w:ascii="Times New Roman" w:eastAsia="黑体" w:hAnsi="Times New Roman" w:cs="Times New Roman" w:hint="default"/>
          <w:sz w:val="32"/>
          <w:szCs w:val="32"/>
        </w:rPr>
      </w:pPr>
      <w:r>
        <w:rPr>
          <w:rFonts w:eastAsia="黑体" w:cs="Times New Roman" w:hint="eastAsia"/>
          <w:sz w:val="32"/>
          <w:szCs w:val="32"/>
          <w:lang w:val="en-US" w:eastAsia="zh-CN"/>
        </w:rPr>
        <w:t xml:space="preserve">七</w:t>
      </w:r>
      <w:r>
        <w:rPr>
          <w:rFonts w:ascii="Times New Roman" w:eastAsia="仿宋_GB2312" w:hAnsi="Times New Roman" w:cs="Times New Roman" w:hint="default"/>
          <w:b/>
          <w:bCs/>
          <w:sz w:val="32"/>
          <w:szCs w:val="32"/>
          <w:lang w:val="en-US" w:eastAsia="zh-CN"/>
        </w:rPr>
        <w:t xml:space="preserve">.</w:t>
      </w:r>
      <w:r>
        <w:rPr>
          <w:rFonts w:ascii="Times New Roman" w:eastAsia="黑体" w:hAnsi="Times New Roman" w:cs="Times New Roman" w:hint="default"/>
          <w:sz w:val="32"/>
          <w:szCs w:val="32"/>
        </w:rPr>
        <w:t xml:space="preserve">其他需要说</w:t>
      </w:r>
      <w:bookmarkStart w:id="32" w:name="page8"/>
      <w:bookmarkEnd w:id="32"/>
      <w:r>
        <w:rPr>
          <w:rFonts w:ascii="Times New Roman" w:eastAsia="黑体" w:hAnsi="Times New Roman" w:cs="Times New Roman" w:hint="default"/>
          <w:sz w:val="32"/>
          <w:szCs w:val="32"/>
        </w:rPr>
        <w:t xml:space="preserve">明的问题</w:t>
      </w:r>
    </w:p>
    <w:p>
      <w:pPr>
        <w:shd w:val="clear" w:color="auto" w:fill="auto"/>
        <w:spacing w:line="600" w:lineRule="exact"/>
        <w:ind w:firstLine="640" w:firstLineChars="200"/>
        <w:outlineLvl w:val="0"/>
        <w:rPr>
          <w:rFonts w:ascii="Times New Roman" w:hAnsi="Times New Roman" w:cs="Times New Roman" w:hint="default"/>
        </w:rPr>
      </w:pPr>
      <w:r>
        <w:rPr>
          <w:rFonts w:ascii="Times New Roman" w:eastAsia="仿宋_GB2312" w:hAnsi="Times New Roman" w:cs="Times New Roman" w:hint="default"/>
          <w:b w:val="0"/>
          <w:bCs w:val="0"/>
          <w:kern w:val="2"/>
          <w:sz w:val="32"/>
          <w:szCs w:val="32"/>
          <w:highlight w:val="none"/>
          <w:lang w:val="en-US" w:bidi="ar-SA"/>
        </w:rPr>
        <w:t xml:space="preserve">本项目无其他需说明的问题。</w:t>
      </w:r>
    </w:p>
    <w:sectPr>
      <w:footerReference w:type="default" r:id="rId2"/>
      <w:pgSz w:w="11906" w:h="16838" w:orient="portrait"/>
      <w:pgMar w:top="2098" w:right="1531" w:bottom="1984" w:left="1531" w:header="851" w:footer="992" w:gutter="0"/>
      <w:pgBorders/>
      <w:cols w:num="1" w:space="425">
        <w:col w:w="8844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B91358-E726-4672-9834-574EE2AF228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25BEEE7-2D1D-4A74-AB2D-F1F07648C687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E7C059AC-6ED5-4449-BCFF-6D822BCA853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2FB0121-20D2-45C5-91DB-08C479FD0477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2AC535FC-D19C-426F-8623-CFEA4BE18431}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  <w:embedRegular r:id="rId6" w:fontKey="{5BE41380-7160-4FF0-99B7-B06C74A6035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2ECEC116-700C-4D79-81B9-9E62E30F3401}"/>
  </w:font>
  <w:font w:name="方正小标宋"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仿宋">
    <w:panose1 w:val="00000000000000000000"/>
    <w:charset w:val="01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147468962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13</w:t>
        </w:r>
        <w:r>
          <w:fldChar w:fldCharType="end"/>
        </w:r>
      </w:p>
    </w:sdtContent>
  </w:sdt>
  <w:p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decimal"/>
      <w:suff w:val="nothing"/>
      <w:lvlText w:val="（%1）"/>
      <w:lvlJc w:val="left"/>
      <w:pPr>
        <w:ind w:left="-10"/>
      </w:pPr>
      <w:rPr/>
    </w:lvl>
  </w:abstractNum>
  <w:abstractNum w:abstractNumId="3">
    <w:multiLevelType w:val="singleLevel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multiLevelType w:val="singleLevel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multiLevelType w:val="singleLevel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20"/>
  <w:embedTrueTypeFonts/>
  <w:saveSubsetFonts/>
  <w:bordersDoNotSurroundFooter w:val="0"/>
  <w:bordersDoNotSurroundHeader w:val="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MmY5NWY3ODkyYmZkMjhmZjFmOTYyOGFkOGYwYzQzODkifQ=="/>
    <w:docVar w:name="KSO_WPS_MARK_KEY" w:val="07159995-379d-4492-8367-c0759fd9d1eb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1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 w:qFormat="1"/>
    <w:lsdException w:name="Body Text First Indent 2" w:semiHidden="0" w:uiPriority="0" w:unhideWhenUsed="0" w:qFormat="1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uiPriority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libri Light" w:eastAsia="宋体" w:hAnsi="Calibri Light" w:asciiTheme="majorHAnsi" w:eastAsiaTheme="majorEastAsia" w:hAnsiTheme="majorHAnsi"/>
      <w:b/>
      <w:bCs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Comment Text"/>
    <w:basedOn w:val="Normal"/>
    <w:link w:val="批注文字字符"/>
    <w:qFormat/>
    <w:pPr>
      <w:jc w:val="left"/>
    </w:pPr>
    <w:rPr/>
  </w:style>
  <w:style w:type="paragraph" w:styleId="BodyText">
    <w:name w:val="Body Text"/>
    <w:basedOn w:val="Normal"/>
    <w:qFormat/>
    <w:pPr>
      <w:spacing w:after="120"/>
    </w:pPr>
    <w:rPr/>
  </w:style>
  <w:style w:type="paragraph" w:styleId="BodyTextIndent">
    <w:name w:val="Body Text Indent"/>
    <w:basedOn w:val="Normal"/>
    <w:qFormat/>
    <w:pPr>
      <w:spacing w:after="120"/>
      <w:ind w:left="420" w:leftChars="200"/>
    </w:pPr>
    <w:rPr>
      <w:rFonts w:ascii="Calibri" w:hAnsi="Calibri"/>
    </w:rPr>
  </w:style>
  <w:style w:type="paragraph" w:styleId="BalloonText">
    <w:name w:val="Balloon Text"/>
    <w:basedOn w:val="Normal"/>
    <w:link w:val="批注框文本字符"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Title">
    <w:name w:val="Title"/>
    <w:basedOn w:val="Normal"/>
    <w:next w:val="Normal"/>
    <w:uiPriority w:val="10"/>
    <w:qFormat/>
    <w:pPr>
      <w:widowControl/>
      <w:spacing w:before="240" w:after="60"/>
      <w:jc w:val="center"/>
      <w:outlineLvl w:val="0"/>
    </w:pPr>
    <w:rPr>
      <w:rFonts w:ascii="Calibri Light" w:eastAsia="宋体" w:hAnsi="Calibri Light" w:asciiTheme="majorHAnsi" w:eastAsiaTheme="majorEastAsia" w:hAnsiTheme="majorHAnsi"/>
      <w:b/>
      <w:bCs/>
      <w:kern w:val="28"/>
      <w:sz w:val="32"/>
      <w:szCs w:val="32"/>
    </w:rPr>
  </w:style>
  <w:style w:type="paragraph" w:styleId="CommentSubject">
    <w:name w:val="Comment Subject"/>
    <w:basedOn w:val="CommentText"/>
    <w:next w:val="CommentText"/>
    <w:link w:val="批注主题字符"/>
    <w:qFormat/>
    <w:rPr>
      <w:b/>
      <w:bCs/>
    </w:rPr>
  </w:style>
  <w:style w:type="paragraph" w:styleId="BodyTextFirstIndent">
    <w:name w:val="Body Text First Indent"/>
    <w:basedOn w:val="BodyText"/>
    <w:qFormat/>
    <w:pPr>
      <w:spacing w:after="0"/>
      <w:ind w:firstLine="200" w:firstLineChars="200"/>
    </w:pPr>
    <w:rPr/>
  </w:style>
  <w:style w:type="paragraph" w:styleId="BodyTextFirstIndent2">
    <w:name w:val="Body Text First Indent 2"/>
    <w:basedOn w:val="BodyTextIndent"/>
    <w:qFormat/>
    <w:pPr>
      <w:ind w:firstLine="420" w:firstLineChars="200"/>
    </w:pPr>
    <w:rPr/>
  </w:style>
  <w:style w:type="character" w:styleId="Strong">
    <w:name w:val="Strong"/>
    <w:basedOn w:val="DefaultParagraphFont"/>
    <w:qFormat/>
    <w:rPr>
      <w:b/>
      <w:bCs/>
    </w:rPr>
  </w:style>
  <w:style w:type="character" w:styleId="CommentReference">
    <w:name w:val="Comment Reference"/>
    <w:basedOn w:val="DefaultParagraphFont"/>
    <w:qFormat/>
    <w:rPr>
      <w:sz w:val="21"/>
      <w:szCs w:val="21"/>
    </w:rPr>
  </w:style>
  <w:style w:type="character" w:customStyle="1" w:styleId="fontstyle01">
    <w:name w:val="fontstyle01"/>
    <w:qFormat/>
    <w:rPr>
      <w:rFonts w:ascii="仿宋_GB2312" w:eastAsia="仿宋_GB2312" w:hAnsi="仿宋_GB2312" w:cs="仿宋_GB2312"/>
      <w:color w:val="000000"/>
      <w:sz w:val="32"/>
      <w:szCs w:val="32"/>
    </w:rPr>
  </w:style>
  <w:style w:type="paragraph" w:customStyle="1" w:styleId="闻政-正文段落文字">
    <w:name w:val="闻政-正文段落文字"/>
    <w:basedOn w:val="Normal"/>
    <w:uiPriority w:val="3"/>
    <w:qFormat/>
    <w:pPr>
      <w:spacing w:line="500" w:lineRule="exact"/>
      <w:ind w:firstLine="200"/>
    </w:pPr>
    <w:rPr>
      <w:kern w:val="0"/>
      <w:szCs w:val="28"/>
    </w:rPr>
  </w:style>
  <w:style w:type="character" w:customStyle="1" w:styleId="批注框文本字符">
    <w:name w:val="批注框文本 字符"/>
    <w:basedOn w:val="DefaultParagraphFont"/>
    <w:link w:val="BalloonText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页眉字符">
    <w:name w:val="页眉 字符"/>
    <w:basedOn w:val="DefaultParagraphFont"/>
    <w:link w:val="Header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批注文字字符">
    <w:name w:val="批注文字 字符"/>
    <w:basedOn w:val="DefaultParagraphFont"/>
    <w:link w:val="CommentText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批注主题字符">
    <w:name w:val="批注主题 字符"/>
    <w:basedOn w:val="批注文字字符"/>
    <w:link w:val="CommentSubject"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_rels/fontTable.xml.rels><?xml version='1.0' encoding='UTF-8' standalone='yes'?>
<Relationships xmlns="http://schemas.openxmlformats.org/package/2006/relationships"><Relationship Id="rId1" Type="http://schemas.openxmlformats.org/officeDocument/2006/relationships/font" Target="fonts/font1.odttf"/><Relationship Id="rId2" Type="http://schemas.openxmlformats.org/officeDocument/2006/relationships/font" Target="fonts/font2.odttf"/><Relationship Id="rId3" Type="http://schemas.openxmlformats.org/officeDocument/2006/relationships/font" Target="fonts/font3.odttf"/><Relationship Id="rId4" Type="http://schemas.openxmlformats.org/officeDocument/2006/relationships/font" Target="fonts/font4.odttf"/><Relationship Id="rId5" Type="http://schemas.openxmlformats.org/officeDocument/2006/relationships/font" Target="fonts/font5.odttf"/><Relationship Id="rId6" Type="http://schemas.openxmlformats.org/officeDocument/2006/relationships/font" Target="fonts/font6.odttf"/><Relationship Id="rId7" Type="http://schemas.openxmlformats.org/officeDocument/2006/relationships/font" Target="fonts/font7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eyJoZGlkIjoiM2QyNTVlMjA1MzU0ZmE2ZGVjNjEzNjExZjg0MmQ1MzciLCJ1c2VySWQiOiIyMjk4MzUzNDIifQ==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26</TotalTime>
  <Pages>20</Pages>
  <Words>9331</Words>
  <Characters>9711</Characters>
  <Application>WPS Office_11.8.2.10972_F1E327BC-269C-435d-A152-05C5408002CA</Application>
  <DocSecurity>0</DocSecurity>
  <Lines>58</Lines>
  <Paragraphs>16</Paragraphs>
  <CharactersWithSpaces>9718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审核人</dc:creator>
  <cp:lastModifiedBy>Administrator</cp:lastModifiedBy>
  <cp:revision>2</cp:revision>
  <dcterms:created xsi:type="dcterms:W3CDTF">2023-03-08T13:13:00Z</dcterms:created>
  <dcterms:modified xsi:type="dcterms:W3CDTF">2025-07-22T13:03:20Z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eyJoZGlkIjoiM2QyNTVlMjA1MzU0ZmE2ZGVjNjEzNjExZjg0MmQ1MzciLCJ1c2VySWQiOiIyMjk4MzUzNDIifQ_x003D__x003D_</vt:lpwstr>
  </property>
</Properties>
</file>