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FC708">
      <w:bookmarkStart w:id="1" w:name="_GoBack"/>
    </w:p>
    <w:p w14:paraId="6ECD2136">
      <w:pPr>
        <w:spacing w:line="540" w:lineRule="exact"/>
        <w:jc w:val="center"/>
        <w:rPr>
          <w:rFonts w:hint="default" w:ascii="Times New Roman" w:hAnsi="Times New Roman" w:eastAsia="华文中宋" w:cs="Times New Roman"/>
          <w:b/>
          <w:kern w:val="0"/>
          <w:sz w:val="52"/>
          <w:szCs w:val="52"/>
        </w:rPr>
      </w:pPr>
    </w:p>
    <w:p w14:paraId="72A75D68">
      <w:pPr>
        <w:spacing w:line="540" w:lineRule="exact"/>
        <w:rPr>
          <w:rFonts w:hint="default" w:ascii="Times New Roman" w:hAnsi="Times New Roman" w:eastAsia="华文中宋" w:cs="Times New Roman"/>
          <w:b/>
          <w:kern w:val="0"/>
          <w:sz w:val="52"/>
          <w:szCs w:val="52"/>
        </w:rPr>
      </w:pPr>
    </w:p>
    <w:p w14:paraId="03F7FF0A">
      <w:pPr>
        <w:spacing w:line="540" w:lineRule="exact"/>
        <w:jc w:val="center"/>
        <w:rPr>
          <w:rFonts w:hint="default" w:ascii="Times New Roman" w:hAnsi="Times New Roman" w:eastAsia="华文中宋" w:cs="Times New Roman"/>
          <w:b/>
          <w:kern w:val="0"/>
          <w:sz w:val="52"/>
          <w:szCs w:val="52"/>
        </w:rPr>
      </w:pPr>
    </w:p>
    <w:p w14:paraId="2D77A28A">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城乡居民基本医疗保险项目支出绩效评价报告</w:t>
      </w:r>
    </w:p>
    <w:p w14:paraId="0280D318">
      <w:pPr>
        <w:spacing w:line="540" w:lineRule="exact"/>
        <w:jc w:val="center"/>
        <w:rPr>
          <w:rFonts w:hint="default" w:ascii="Times New Roman" w:hAnsi="Times New Roman" w:eastAsia="华文中宋" w:cs="Times New Roman"/>
          <w:b/>
          <w:kern w:val="0"/>
          <w:sz w:val="52"/>
          <w:szCs w:val="52"/>
        </w:rPr>
      </w:pPr>
    </w:p>
    <w:p w14:paraId="46AA43C9">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01E9844A">
      <w:pPr>
        <w:spacing w:line="540" w:lineRule="exact"/>
        <w:jc w:val="center"/>
        <w:rPr>
          <w:rFonts w:hint="default" w:ascii="Times New Roman" w:hAnsi="Times New Roman" w:eastAsia="仿宋_GB2312" w:cs="Times New Roman"/>
          <w:kern w:val="0"/>
          <w:sz w:val="32"/>
          <w:szCs w:val="32"/>
        </w:rPr>
      </w:pPr>
    </w:p>
    <w:p w14:paraId="79B5FBF5">
      <w:pPr>
        <w:spacing w:line="540" w:lineRule="exact"/>
        <w:jc w:val="center"/>
        <w:rPr>
          <w:rFonts w:hint="default" w:ascii="Times New Roman" w:hAnsi="Times New Roman" w:eastAsia="仿宋_GB2312" w:cs="Times New Roman"/>
          <w:kern w:val="0"/>
          <w:sz w:val="32"/>
          <w:szCs w:val="32"/>
        </w:rPr>
      </w:pPr>
    </w:p>
    <w:p w14:paraId="50112BEF">
      <w:pPr>
        <w:spacing w:line="540" w:lineRule="exact"/>
        <w:jc w:val="center"/>
        <w:rPr>
          <w:rFonts w:hint="default" w:ascii="Times New Roman" w:hAnsi="Times New Roman" w:eastAsia="仿宋_GB2312" w:cs="Times New Roman"/>
          <w:kern w:val="0"/>
          <w:sz w:val="32"/>
          <w:szCs w:val="32"/>
        </w:rPr>
      </w:pPr>
    </w:p>
    <w:p w14:paraId="7ECD6AAF">
      <w:pPr>
        <w:pStyle w:val="12"/>
        <w:rPr>
          <w:rFonts w:hint="default" w:ascii="Times New Roman" w:hAnsi="Times New Roman" w:cs="Times New Roman"/>
          <w:sz w:val="32"/>
          <w:szCs w:val="32"/>
        </w:rPr>
      </w:pPr>
    </w:p>
    <w:p w14:paraId="2A7CCCA6">
      <w:pPr>
        <w:spacing w:line="540" w:lineRule="exact"/>
        <w:jc w:val="center"/>
        <w:rPr>
          <w:rFonts w:hint="default" w:ascii="Times New Roman" w:hAnsi="Times New Roman" w:eastAsia="仿宋_GB2312" w:cs="Times New Roman"/>
          <w:kern w:val="0"/>
          <w:sz w:val="32"/>
          <w:szCs w:val="32"/>
        </w:rPr>
      </w:pPr>
    </w:p>
    <w:p w14:paraId="377BE40F">
      <w:pPr>
        <w:spacing w:line="540" w:lineRule="exact"/>
        <w:rPr>
          <w:rFonts w:hint="default" w:ascii="Times New Roman" w:hAnsi="Times New Roman" w:eastAsia="仿宋_GB2312" w:cs="Times New Roman"/>
          <w:kern w:val="0"/>
          <w:sz w:val="32"/>
          <w:szCs w:val="32"/>
        </w:rPr>
      </w:pPr>
    </w:p>
    <w:p w14:paraId="3143FD7D">
      <w:pPr>
        <w:spacing w:line="700" w:lineRule="exact"/>
        <w:ind w:firstLine="1440"/>
        <w:jc w:val="left"/>
        <w:rPr>
          <w:rFonts w:hint="eastAsia"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r>
        <w:rPr>
          <w:rFonts w:hint="eastAsia" w:ascii="Times New Roman" w:hAnsi="Times New Roman" w:eastAsia="仿宋_GB2312" w:cs="Times New Roman"/>
          <w:kern w:val="0"/>
          <w:sz w:val="32"/>
          <w:szCs w:val="32"/>
        </w:rPr>
        <w:t>城乡居民基本医疗保险</w:t>
      </w:r>
    </w:p>
    <w:p w14:paraId="0750E549">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rPr>
        <w:t>特克斯县医疗保障局</w:t>
      </w:r>
    </w:p>
    <w:p w14:paraId="6D9F9BB1">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w:t>
      </w:r>
      <w:r>
        <w:rPr>
          <w:rFonts w:hint="eastAsia" w:ascii="Times New Roman" w:hAnsi="Times New Roman" w:eastAsia="仿宋_GB2312" w:cs="Times New Roman"/>
          <w:kern w:val="0"/>
          <w:sz w:val="32"/>
          <w:szCs w:val="32"/>
        </w:rPr>
        <w:t>特克斯县医疗保障局</w:t>
      </w:r>
    </w:p>
    <w:p w14:paraId="014AB530">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项目负责人（签章）：古丽扎帕尔</w:t>
      </w:r>
    </w:p>
    <w:p w14:paraId="3CE7C855">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264317A7">
      <w:pPr>
        <w:spacing w:line="540" w:lineRule="exact"/>
        <w:jc w:val="center"/>
        <w:rPr>
          <w:rFonts w:hint="default" w:ascii="Times New Roman" w:hAnsi="Times New Roman" w:eastAsia="仿宋_GB2312" w:cs="Times New Roman"/>
          <w:kern w:val="0"/>
          <w:sz w:val="30"/>
          <w:szCs w:val="30"/>
        </w:rPr>
      </w:pPr>
    </w:p>
    <w:p w14:paraId="24F15078">
      <w:pPr>
        <w:spacing w:line="540" w:lineRule="exact"/>
        <w:rPr>
          <w:rStyle w:val="18"/>
          <w:rFonts w:hint="default" w:ascii="Times New Roman" w:hAnsi="Times New Roman" w:eastAsia="黑体" w:cs="Times New Roman"/>
          <w:b w:val="0"/>
          <w:spacing w:val="-4"/>
          <w:sz w:val="32"/>
          <w:szCs w:val="32"/>
        </w:rPr>
      </w:pPr>
    </w:p>
    <w:p w14:paraId="077CD28F">
      <w:pPr>
        <w:spacing w:line="540" w:lineRule="exact"/>
        <w:ind w:firstLine="640"/>
        <w:rPr>
          <w:rStyle w:val="18"/>
          <w:rFonts w:hint="default" w:ascii="Times New Roman" w:hAnsi="Times New Roman" w:eastAsia="黑体" w:cs="Times New Roman"/>
          <w:b w:val="0"/>
          <w:spacing w:val="-4"/>
          <w:sz w:val="32"/>
          <w:szCs w:val="32"/>
        </w:rPr>
      </w:pPr>
    </w:p>
    <w:p w14:paraId="08CB592A">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4398275B">
      <w:pPr>
        <w:spacing w:line="560" w:lineRule="exact"/>
        <w:ind w:firstLine="64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93EDFB0">
      <w:p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FC58E8C">
      <w:pPr>
        <w:spacing w:line="560" w:lineRule="exact"/>
        <w:ind w:firstLine="643"/>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14:paraId="0ED3EA4A">
      <w:pPr>
        <w:spacing w:line="560" w:lineRule="exact"/>
        <w:ind w:firstLine="624"/>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该项资金按照《中央财政城乡居民基本医疗保险补助资金管理办法》（财社〔2019〕166号）文件实行，资金主要用于2023年城乡居民基本医疗保险补助。城乡居民基本医疗保障工作推动稳步提高了基本医保待遇保障水平，健全了覆盖全民、城乡统筹、权责清晰、保障适度、可持续的多层次医疗保障体系。</w:t>
      </w:r>
    </w:p>
    <w:p w14:paraId="228DB362">
      <w:pPr>
        <w:spacing w:line="560" w:lineRule="exact"/>
        <w:ind w:firstLine="643"/>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项目主要内容：</w:t>
      </w:r>
    </w:p>
    <w:p w14:paraId="4A8E0A9C">
      <w:pPr>
        <w:spacing w:line="560" w:lineRule="exact"/>
        <w:ind w:firstLine="624"/>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项目主要内容：参保人员个人缴费后政府缴费补助按照中央，自治区，县级等级分别配套到位，2024年总配套标准每人670元，其中：中央536元，自治区80.4元，县级53.6元。专项资金统一纳入征收保险基金上解州医保局、单独建账，封闭运行。统筹基金历年结余及当年收支均由州级统一支付、调剂、使用。实行属地办理，即征缴、会计核算、待遇支付、基金管理均在医保经办机构办理。</w:t>
      </w:r>
    </w:p>
    <w:p w14:paraId="4267DAE5">
      <w:pPr>
        <w:spacing w:line="560" w:lineRule="exact"/>
        <w:ind w:firstLine="624"/>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项目实施情况：积极推进了全民参保计划，城乡居民基本医疗保险参保人数12.22万人，已稳步提高财政补助资金，确保了城乡居民基本医疗保险参保人员的医疗待遇落实，已按时足额安排财政补助资金，全面落实了大病保险制度，减轻了参保人员的经济负担，较大缓解了社会矛盾。2024年城乡居民基本医疗保险补助项目2024年1月1日开始执行，2024年12月31日完成执行</w:t>
      </w:r>
      <w:r>
        <w:rPr>
          <w:rFonts w:hint="eastAsia" w:eastAsia="仿宋_GB2312" w:cs="Times New Roman"/>
          <w:sz w:val="32"/>
          <w:szCs w:val="32"/>
          <w:highlight w:val="none"/>
          <w:lang w:eastAsia="zh-CN"/>
        </w:rPr>
        <w:t>。</w:t>
      </w:r>
    </w:p>
    <w:p w14:paraId="78000869">
      <w:pPr>
        <w:spacing w:line="560" w:lineRule="exact"/>
        <w:ind w:firstLine="624"/>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5D53E8A9">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r>
        <w:rPr>
          <w:rFonts w:hint="default" w:ascii="Times New Roman" w:hAnsi="Times New Roman" w:eastAsia="仿宋_GB2312" w:cs="Times New Roman"/>
          <w:sz w:val="32"/>
          <w:szCs w:val="32"/>
          <w:highlight w:val="none"/>
          <w:lang w:eastAsia="zh-CN"/>
        </w:rPr>
        <w:t>该项目年初预算数674.93万元，全年预算数674.93万元，该项目资金已全部落实到位655万，资金来源为资金来源为财政拨款。</w:t>
      </w:r>
    </w:p>
    <w:p w14:paraId="3E1D9858">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725882E2">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该项目年初预算数674.93元，全年预算数674.93万元，全年执行数655万元，预算执行率为97.05%，主要用于：参保后落实“基本医疗保险+大病医疗保险+民政医疗救助”等的模式享受待遇。</w:t>
      </w:r>
    </w:p>
    <w:p w14:paraId="4AB9575D">
      <w:p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14:paraId="6707D215">
      <w:pPr>
        <w:spacing w:line="560" w:lineRule="exact"/>
        <w:ind w:left="640" w:leftChars="320" w:firstLine="352" w:firstLineChars="11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1.总体目标</w:t>
      </w:r>
    </w:p>
    <w:p w14:paraId="2AA2B0C9">
      <w:pPr>
        <w:spacing w:line="560" w:lineRule="exact"/>
        <w:ind w:firstLine="624"/>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城乡居民基本医疗保险参保率稳定在95%以上，稳步提高财政补助资金，确保参保人员的医疗待遇落实，按时足额安排财政补助资金，确保在每年9月底以前全部各级财政配套资金到位，减轻参保人员就医经济负担，缓解社会矛盾。</w:t>
      </w:r>
    </w:p>
    <w:p w14:paraId="4D33B88E">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2.阶段性目标阶段性目标：</w:t>
      </w:r>
    </w:p>
    <w:p w14:paraId="31259A4B">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第一阶段2024年6月24日参保人员6.08万人，执行资金326万元。</w:t>
      </w:r>
    </w:p>
    <w:p w14:paraId="39BFBCDF">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第二阶段2024年6月21日参保人员6.14万人，执行资金329万元</w:t>
      </w:r>
    </w:p>
    <w:p w14:paraId="46FFB23C">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3204B6E0">
      <w:p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14:paraId="6620CD00">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1.绩效评价完整性</w:t>
      </w:r>
    </w:p>
    <w:p w14:paraId="0A80F9E4">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A8FA9A4">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均进行了明确说明，确保评价结果的客观性和可追溯性。</w:t>
      </w:r>
    </w:p>
    <w:p w14:paraId="51F8D753">
      <w:pPr>
        <w:spacing w:line="560" w:lineRule="exact"/>
        <w:ind w:firstLine="320" w:firstLineChars="1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863075D">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8A7F0FA">
      <w:pPr>
        <w:spacing w:line="560" w:lineRule="exact"/>
        <w:ind w:firstLine="64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1A90143">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55F747A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11995E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通过对项目预算执行情况及各项绩效目标达成程度的系统性分析，全面、客观地评估项目在预定周期内的实施效果，包括社会效等多维度指标，为项目后续的改进与优化提供科学依据。</w:t>
      </w:r>
    </w:p>
    <w:p w14:paraId="7F5BDE6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0151BDE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1A92E8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39E3B00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871036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637426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2112A6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34F350F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46A191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EFA27D9">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3.绩效评价的对象</w:t>
      </w:r>
    </w:p>
    <w:p w14:paraId="4632C55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对象是城乡居民基本医疗保险及其预算执行情况。该项目由特克斯县医疗保障局负责实施，旨在参保率稳定在95%以上，确保参保人员医疗待遇的落实，减轻参保人员就医经济负担，缓解社会矛盾。项目预算涵盖从2024年1月1日至2024年12月31日的全部资金投入与支出，涉及资金总额为655</w:t>
      </w:r>
      <w:r>
        <w:rPr>
          <w:rFonts w:hint="default"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rPr>
        <w:t>元。</w:t>
      </w:r>
    </w:p>
    <w:p w14:paraId="2483E55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绩效评价的范围</w:t>
      </w:r>
    </w:p>
    <w:p w14:paraId="6230595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本项目预算绩效评价报告的评价范围广泛而全面，涵盖了从项目立项至评价时点期间的所有关键预算活动和财务流程。具体而言，评价范围包括但不限于以下几个方面：</w:t>
      </w:r>
    </w:p>
    <w:p w14:paraId="23F3767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项目预算编制与执行：全面审视项目预算的编制依据、合理性、科学性以及实际执行情况，包括预算调整的原因和效果。</w:t>
      </w:r>
    </w:p>
    <w:p w14:paraId="47836E86">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资金管理：深入分析项目资金的分配、使用和监管情况，确保资金使用的合规性、高效性和透明度。</w:t>
      </w:r>
    </w:p>
    <w:p w14:paraId="3D9A3C2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项目实施进度与产出：评估项目是否按照既定计划顺利推进，各项任务是否按时完成，以及项目产出的数量、质量和时效性是否符合预期。</w:t>
      </w:r>
    </w:p>
    <w:p w14:paraId="38305A5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社会影响：</w:t>
      </w:r>
      <w:r>
        <w:rPr>
          <w:rFonts w:hint="eastAsia" w:ascii="Times New Roman" w:hAnsi="Times New Roman" w:eastAsia="仿宋_GB2312" w:cs="Times New Roman"/>
          <w:sz w:val="32"/>
          <w:szCs w:val="32"/>
          <w:highlight w:val="none"/>
          <w:lang w:val="en-US" w:eastAsia="zh-CN"/>
        </w:rPr>
        <w:t>减轻参保人员就医经济负担，各地不断优化</w:t>
      </w:r>
    </w:p>
    <w:p w14:paraId="3FBB362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医保就医买药报销政策，如提高居民医疗普通门诊统筹待遇和两病门诊待遇，提供报销比例，降低参保人员个人自负费用，避免小病大治，低标准如愿等情况，让老百姓得到实惠。</w:t>
      </w:r>
    </w:p>
    <w:p w14:paraId="47627EF6">
      <w:pPr>
        <w:widowControl w:val="0"/>
        <w:spacing w:line="560" w:lineRule="exact"/>
        <w:ind w:firstLine="643" w:firstLineChars="200"/>
        <w:jc w:val="both"/>
        <w:rPr>
          <w:rFonts w:hint="default" w:ascii="Times New Roman" w:hAnsi="Times New Roman" w:cs="Times New Roman"/>
          <w:highlight w:val="none"/>
        </w:rPr>
      </w:pPr>
      <w:r>
        <w:rPr>
          <w:rFonts w:hint="default" w:ascii="Times New Roman" w:hAnsi="Times New Roman" w:eastAsia="楷体_GB2312" w:cs="Times New Roman"/>
          <w:b/>
          <w:bCs/>
          <w:kern w:val="2"/>
          <w:sz w:val="32"/>
          <w:szCs w:val="32"/>
          <w:highlight w:val="none"/>
          <w:lang w:val="en-US" w:eastAsia="zh-CN" w:bidi="ar-SA"/>
        </w:rPr>
        <w:t>（二）绩效评价原则、评价指标体系（详情见表1）、评价方法、评价标准。</w:t>
      </w:r>
    </w:p>
    <w:p w14:paraId="4BCF6D3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1.绩效评价原则</w:t>
      </w:r>
    </w:p>
    <w:p w14:paraId="0924E8D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本次项目绩效评价遵循以下基本原则：</w:t>
      </w:r>
    </w:p>
    <w:p w14:paraId="59CA3BB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（1）科学公正。绩效评价应当运用科学合理的方法，按照规范的程序，对项目绩效进行客观、公正的反映。</w:t>
      </w:r>
    </w:p>
    <w:p w14:paraId="73B746F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（2）统筹兼顾。单位自评、部门评价和财政评价应职责明确，各有侧重，相互衔接。单位自评应由项目单位自主实施，即“谁支出、谁自评”。部门评价和财政评价应在单位自评的基础上开展。</w:t>
      </w:r>
    </w:p>
    <w:p w14:paraId="5884756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（3）激励约束。绩效评价结果应与预算安排、政策调整、改进管理实质性挂钩，体现奖优罚劣和激励相容导向，有效要安排、低效要压减、无效要问责。</w:t>
      </w:r>
    </w:p>
    <w:p w14:paraId="2F1023A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（4）公开透明。绩效评价结果应依法依规公开，并自觉接受社会监督。</w:t>
      </w:r>
    </w:p>
    <w:p w14:paraId="3F657BD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2.评价指标体系</w:t>
      </w:r>
    </w:p>
    <w:p w14:paraId="2186762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绩效评价框架是开展绩效评价的核心。绩效评价框架包括评价准则、关键评价问题、评价指标、数据来源、数据收集方法等。指标体系建立过程如下：</w:t>
      </w:r>
    </w:p>
    <w:p w14:paraId="1026690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（1）确定评价指标</w:t>
      </w:r>
    </w:p>
    <w:p w14:paraId="28FC5C3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3A94791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（2）确定权重</w:t>
      </w:r>
    </w:p>
    <w:p w14:paraId="14D0C1B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确定各个指标相对于项目总体绩效的权重分值。在绩效评价指标体系中，项目决策权重为20分，项目过程权重为20分，项目产出权重为40分，项目效益权重为20分。</w:t>
      </w:r>
    </w:p>
    <w:p w14:paraId="456C7B0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（3）确定指标标准值</w:t>
      </w:r>
    </w:p>
    <w:p w14:paraId="50CB837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指标标准值是绩效评价指标的尺度，既要反映同类项目的先进水平，又要符合项目的实际绩效水平。具体采用计划标准等确定此次绩效评价指标标准值。</w:t>
      </w:r>
    </w:p>
    <w:p w14:paraId="60001D2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绩效评价总分值100分，根据综合评分结果，90（含）-100分为优、80（含）-90分为良、60（含）-80分为中、60分以下为差。</w:t>
      </w:r>
    </w:p>
    <w:p w14:paraId="005DC82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具体评价指标体系详情见附件1</w:t>
      </w:r>
    </w:p>
    <w:p w14:paraId="03E24F9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3.绩效评价方法</w:t>
      </w:r>
    </w:p>
    <w:p w14:paraId="4D84D4C5">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绩效评价从项目决策、项目过程、项目产出、项目效益四个维度进行评价。评价对象为项目目标实施情况，  评价核心为资金的支出完成情况和项目的产出效益。</w:t>
      </w:r>
    </w:p>
    <w:p w14:paraId="477D1915">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5BC16DB2">
      <w:pPr>
        <w:numPr>
          <w:ilvl w:val="0"/>
          <w:numId w:val="1"/>
        </w:num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因素分析法。</w:t>
      </w:r>
      <w:r>
        <w:rPr>
          <w:rFonts w:hint="eastAsia" w:eastAsia="仿宋_GB2312" w:cs="Times New Roman"/>
          <w:sz w:val="32"/>
          <w:szCs w:val="32"/>
          <w:highlight w:val="none"/>
          <w:lang w:val="en-US" w:eastAsia="zh-CN"/>
        </w:rPr>
        <w:t>为了能够将复杂的经济现象分解为各个因素，并通过定量计算明确各个因素对分析的对象，为决策提供精准的数据支持。</w:t>
      </w:r>
    </w:p>
    <w:p w14:paraId="10B4080A">
      <w:pPr>
        <w:numPr>
          <w:ilvl w:val="0"/>
          <w:numId w:val="1"/>
        </w:num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4.评价标准</w:t>
      </w:r>
    </w:p>
    <w:p w14:paraId="306243B7">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绩效评价标准通常包括计划标准、行业标准、历史标准等，用于对绩效指标完成情况进行比较、分析、评价。本次评价主要采用了计划标准。</w:t>
      </w:r>
    </w:p>
    <w:p w14:paraId="53230417">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（1）计划标准。指以预先制定的目标、计划、预算、定额等作为评价标准。</w:t>
      </w:r>
    </w:p>
    <w:p w14:paraId="07552C4F">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（1）前期准备与规划</w:t>
      </w:r>
    </w:p>
    <w:p w14:paraId="0D7098E9">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07AB0AED">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（2）指标体系构建</w:t>
      </w:r>
    </w:p>
    <w:p w14:paraId="5EB8D811">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58B53CBA">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（3）数据收集与整理</w:t>
      </w:r>
    </w:p>
    <w:p w14:paraId="378D9B7E">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46FAAF8">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（4）数据分析与评估</w:t>
      </w:r>
    </w:p>
    <w:p w14:paraId="2AEFBDC1">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531FA71">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（5）报告撰写与反馈</w:t>
      </w:r>
    </w:p>
    <w:p w14:paraId="3D062AFB">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30A2F51">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（6）后续跟踪与改进</w:t>
      </w:r>
    </w:p>
    <w:p w14:paraId="26EDB829">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9A06F6C">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综合评价情况及评价结论（附相关评分表）</w:t>
      </w:r>
    </w:p>
    <w:p w14:paraId="387DC1AA">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（一）评价情况</w:t>
      </w:r>
    </w:p>
    <w:p w14:paraId="790FE38C">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的综合评价基于对项目各方面绩效的深入分析与评估。从项目目标的达成情况来看，城乡居民基本医疗保险在城乡居民基本医疗保险参保人数达到12.22万人、已稳步提高财政补助资金已按时足额安排财政补助资等方面表现出色，达到了预期的标准与要求。同时，项目也在全面落实了大病保险制度取得了显著的成效，如减轻了参保人员的经济负担，较大缓解了社会矛盾等。</w:t>
      </w:r>
    </w:p>
    <w:p w14:paraId="23DCA0DC">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在项目管理方面，特克斯县医疗保障局通过有效的规划、组织与协调，项目得以顺利实施，并在预算与时间上保持了良好的控制。</w:t>
      </w:r>
    </w:p>
    <w:p w14:paraId="404152BB">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从项目效益的角度来看，本项目不仅实现了预期的社会效益等方面产生了积极的影响。具体而言，减轻参保人员就医经济负担等方面的提升，为项目的利益相关者带来了实实在在的利益。</w:t>
      </w:r>
    </w:p>
    <w:p w14:paraId="650EA8F4">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综上所述，城乡居民基本医疗保险在绩效评价中表现出色，达到了项目的预期目标，并在多个方面取得了显著的成效。</w:t>
      </w:r>
    </w:p>
    <w:p w14:paraId="71FF51AA">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（二）评价结论</w:t>
      </w:r>
    </w:p>
    <w:p w14:paraId="0CD825A0">
      <w:pPr>
        <w:spacing w:line="560" w:lineRule="exact"/>
        <w:ind w:firstLine="624"/>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99.6分，属于“优”。其中，项目决策类指标权重为20分，得分为 20分，得分率为 100%。项目过程类指标权重为20分，得分为19.6分率为 9</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%。项目产出类指标权重为40分，得分为40分，得分率为100%。项目效益类指标权重为20分，得分为20分，得分率为100%。具体打分情况详见：附件1综合评分表</w:t>
      </w:r>
      <w:r>
        <w:rPr>
          <w:rFonts w:hint="default" w:ascii="Times New Roman" w:hAnsi="Times New Roman" w:eastAsia="仿宋_GB2312" w:cs="Times New Roman"/>
          <w:sz w:val="32"/>
          <w:szCs w:val="32"/>
          <w:highlight w:val="none"/>
          <w:lang w:eastAsia="zh-CN"/>
        </w:rPr>
        <w:t>。</w:t>
      </w:r>
    </w:p>
    <w:p w14:paraId="66977893">
      <w:pPr>
        <w:pStyle w:val="12"/>
        <w:keepNext w:val="0"/>
        <w:keepLines w:val="0"/>
        <w:pageBreakBefore w:val="0"/>
        <w:widowControl/>
        <w:kinsoku/>
        <w:wordWrap/>
        <w:overflowPunct/>
        <w:topLinePunct w:val="0"/>
        <w:autoSpaceDE/>
        <w:autoSpaceDN/>
        <w:bidi w:val="0"/>
        <w:adjustRightInd/>
        <w:snapToGrid/>
        <w:spacing w:before="0" w:after="0"/>
        <w:jc w:val="center"/>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表1综合评分表</w:t>
      </w:r>
    </w:p>
    <w:tbl>
      <w:tblPr>
        <w:tblStyle w:val="15"/>
        <w:tblpPr w:leftFromText="180" w:rightFromText="180" w:vertAnchor="text" w:horzAnchor="page" w:tblpX="2036" w:tblpY="264"/>
        <w:tblOverlap w:val="never"/>
        <w:tblW w:w="4998" w:type="pct"/>
        <w:tblInd w:w="0" w:type="dxa"/>
        <w:tblLayout w:type="autofit"/>
        <w:tblCellMar>
          <w:top w:w="0" w:type="dxa"/>
          <w:left w:w="108" w:type="dxa"/>
          <w:bottom w:w="0" w:type="dxa"/>
          <w:right w:w="108" w:type="dxa"/>
        </w:tblCellMar>
      </w:tblPr>
      <w:tblGrid>
        <w:gridCol w:w="3325"/>
        <w:gridCol w:w="2298"/>
        <w:gridCol w:w="2414"/>
      </w:tblGrid>
      <w:tr w14:paraId="2DBD86D8">
        <w:tblPrEx>
          <w:tblCellMar>
            <w:top w:w="0" w:type="dxa"/>
            <w:left w:w="108" w:type="dxa"/>
            <w:bottom w:w="0" w:type="dxa"/>
            <w:right w:w="108" w:type="dxa"/>
          </w:tblCellMar>
        </w:tblPrEx>
        <w:trPr>
          <w:trHeight w:val="90" w:hRule="atLeast"/>
          <w:tblHeader/>
        </w:trPr>
        <w:tc>
          <w:tcPr>
            <w:tcW w:w="2068" w:type="pct"/>
            <w:tcBorders>
              <w:top w:val="single" w:color="auto" w:sz="4" w:space="0"/>
              <w:left w:val="single" w:color="auto" w:sz="4" w:space="0"/>
              <w:bottom w:val="single" w:color="auto" w:sz="4" w:space="0"/>
              <w:right w:val="single" w:color="auto" w:sz="4" w:space="0"/>
            </w:tcBorders>
            <w:shd w:val="clear" w:color="000000" w:fill="BEBEBE"/>
            <w:vAlign w:val="center"/>
          </w:tcPr>
          <w:p w14:paraId="606B96D1">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1429" w:type="pct"/>
            <w:tcBorders>
              <w:top w:val="single" w:color="auto" w:sz="4" w:space="0"/>
              <w:left w:val="nil"/>
              <w:bottom w:val="single" w:color="auto" w:sz="4" w:space="0"/>
              <w:right w:val="single" w:color="auto" w:sz="4" w:space="0"/>
            </w:tcBorders>
            <w:shd w:val="clear" w:color="000000" w:fill="BEBEBE"/>
            <w:vAlign w:val="center"/>
          </w:tcPr>
          <w:p w14:paraId="32BA1537">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1501" w:type="pct"/>
            <w:tcBorders>
              <w:top w:val="single" w:color="auto" w:sz="4" w:space="0"/>
              <w:left w:val="nil"/>
              <w:bottom w:val="single" w:color="auto" w:sz="4" w:space="0"/>
              <w:right w:val="single" w:color="auto" w:sz="4" w:space="0"/>
            </w:tcBorders>
            <w:shd w:val="clear" w:color="000000" w:fill="BEBEBE"/>
            <w:vAlign w:val="center"/>
          </w:tcPr>
          <w:p w14:paraId="10B75176">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14:paraId="1E8922D9">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14:paraId="5B2582F7">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1429" w:type="pct"/>
            <w:tcBorders>
              <w:top w:val="nil"/>
              <w:left w:val="nil"/>
              <w:bottom w:val="single" w:color="auto" w:sz="4" w:space="0"/>
              <w:right w:val="single" w:color="auto" w:sz="4" w:space="0"/>
            </w:tcBorders>
            <w:shd w:val="clear" w:color="auto" w:fill="auto"/>
            <w:vAlign w:val="center"/>
          </w:tcPr>
          <w:p w14:paraId="5C1BB097">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501" w:type="pct"/>
            <w:tcBorders>
              <w:top w:val="nil"/>
              <w:left w:val="nil"/>
              <w:bottom w:val="single" w:color="auto" w:sz="4" w:space="0"/>
              <w:right w:val="single" w:color="auto" w:sz="4" w:space="0"/>
            </w:tcBorders>
            <w:shd w:val="clear" w:color="auto" w:fill="auto"/>
            <w:vAlign w:val="center"/>
          </w:tcPr>
          <w:p w14:paraId="0284E665">
            <w:pPr>
              <w:jc w:val="center"/>
              <w:rPr>
                <w:rFonts w:hint="default" w:ascii="Times New Roman" w:hAnsi="Times New Roman" w:eastAsia="仿宋_GB2312" w:cs="Times New Roman"/>
                <w:color w:val="000000"/>
                <w:sz w:val="21"/>
                <w:szCs w:val="21"/>
                <w:highlight w:val="none"/>
              </w:rPr>
            </w:pPr>
            <w:r>
              <w:rPr>
                <w:rFonts w:ascii="Times New Roman"/>
                <w:color w:val="000000"/>
                <w:sz w:val="21"/>
                <w:highlight w:val="none"/>
              </w:rPr>
              <w:t>20</w:t>
            </w:r>
          </w:p>
        </w:tc>
      </w:tr>
      <w:tr w14:paraId="4B178D1C">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14:paraId="200C640C">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1429" w:type="pct"/>
            <w:tcBorders>
              <w:top w:val="nil"/>
              <w:left w:val="nil"/>
              <w:bottom w:val="single" w:color="auto" w:sz="4" w:space="0"/>
              <w:right w:val="single" w:color="auto" w:sz="4" w:space="0"/>
            </w:tcBorders>
            <w:shd w:val="clear" w:color="auto" w:fill="auto"/>
            <w:vAlign w:val="center"/>
          </w:tcPr>
          <w:p w14:paraId="063F427E">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501" w:type="pct"/>
            <w:tcBorders>
              <w:top w:val="nil"/>
              <w:left w:val="nil"/>
              <w:bottom w:val="single" w:color="auto" w:sz="4" w:space="0"/>
              <w:right w:val="single" w:color="auto" w:sz="4" w:space="0"/>
            </w:tcBorders>
            <w:shd w:val="clear" w:color="auto" w:fill="auto"/>
            <w:vAlign w:val="center"/>
          </w:tcPr>
          <w:p w14:paraId="78B72A5F">
            <w:pPr>
              <w:jc w:val="center"/>
              <w:rPr>
                <w:rFonts w:hint="default" w:ascii="Times New Roman" w:hAnsi="Times New Roman" w:eastAsia="仿宋_GB2312" w:cs="Times New Roman"/>
                <w:color w:val="000000"/>
                <w:sz w:val="21"/>
                <w:szCs w:val="21"/>
                <w:highlight w:val="none"/>
              </w:rPr>
            </w:pPr>
            <w:r>
              <w:rPr>
                <w:rFonts w:hint="default" w:ascii="Times New Roman"/>
                <w:color w:val="000000"/>
                <w:sz w:val="21"/>
                <w:highlight w:val="none"/>
                <w:lang w:val="en-US" w:eastAsia="zh-CN"/>
              </w:rPr>
              <w:t>19.6</w:t>
            </w:r>
          </w:p>
        </w:tc>
      </w:tr>
      <w:tr w14:paraId="2ACC0727">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14:paraId="2A668717">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1429" w:type="pct"/>
            <w:tcBorders>
              <w:top w:val="nil"/>
              <w:left w:val="nil"/>
              <w:bottom w:val="single" w:color="auto" w:sz="4" w:space="0"/>
              <w:right w:val="single" w:color="auto" w:sz="4" w:space="0"/>
            </w:tcBorders>
            <w:shd w:val="clear" w:color="auto" w:fill="auto"/>
            <w:vAlign w:val="center"/>
          </w:tcPr>
          <w:p w14:paraId="6FEE8EA7">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1501" w:type="pct"/>
            <w:tcBorders>
              <w:top w:val="nil"/>
              <w:left w:val="nil"/>
              <w:bottom w:val="single" w:color="auto" w:sz="4" w:space="0"/>
              <w:right w:val="single" w:color="auto" w:sz="4" w:space="0"/>
            </w:tcBorders>
            <w:shd w:val="clear" w:color="auto" w:fill="auto"/>
            <w:vAlign w:val="center"/>
          </w:tcPr>
          <w:p w14:paraId="089A0A9F">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lang w:val="en-US" w:eastAsia="zh-CN"/>
              </w:rPr>
              <w:t>40</w:t>
            </w:r>
          </w:p>
        </w:tc>
      </w:tr>
      <w:tr w14:paraId="5235FBEB">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14:paraId="1262A3DD">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1429" w:type="pct"/>
            <w:tcBorders>
              <w:top w:val="nil"/>
              <w:left w:val="nil"/>
              <w:bottom w:val="single" w:color="auto" w:sz="4" w:space="0"/>
              <w:right w:val="single" w:color="auto" w:sz="4" w:space="0"/>
            </w:tcBorders>
            <w:shd w:val="clear" w:color="auto" w:fill="auto"/>
            <w:vAlign w:val="center"/>
          </w:tcPr>
          <w:p w14:paraId="33E71CBA">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501" w:type="pct"/>
            <w:tcBorders>
              <w:top w:val="nil"/>
              <w:left w:val="nil"/>
              <w:bottom w:val="single" w:color="auto" w:sz="4" w:space="0"/>
              <w:right w:val="single" w:color="auto" w:sz="4" w:space="0"/>
            </w:tcBorders>
            <w:shd w:val="clear" w:color="auto" w:fill="auto"/>
            <w:vAlign w:val="center"/>
          </w:tcPr>
          <w:p w14:paraId="471F982F">
            <w:pPr>
              <w:jc w:val="center"/>
              <w:rPr>
                <w:rFonts w:hint="default" w:ascii="Times New Roman" w:hAnsi="Times New Roman" w:eastAsia="仿宋_GB2312" w:cs="Times New Roman"/>
                <w:color w:val="000000"/>
                <w:sz w:val="21"/>
                <w:szCs w:val="21"/>
                <w:highlight w:val="none"/>
              </w:rPr>
            </w:pPr>
            <w:r>
              <w:rPr>
                <w:rFonts w:ascii="Times New Roman"/>
                <w:color w:val="000000"/>
                <w:sz w:val="21"/>
                <w:highlight w:val="none"/>
              </w:rPr>
              <w:t>20</w:t>
            </w:r>
          </w:p>
        </w:tc>
      </w:tr>
      <w:tr w14:paraId="4645BF58">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14:paraId="066B66F1">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1429" w:type="pct"/>
            <w:tcBorders>
              <w:top w:val="nil"/>
              <w:left w:val="nil"/>
              <w:bottom w:val="single" w:color="auto" w:sz="4" w:space="0"/>
              <w:right w:val="single" w:color="auto" w:sz="4" w:space="0"/>
            </w:tcBorders>
            <w:shd w:val="clear" w:color="auto" w:fill="auto"/>
            <w:vAlign w:val="center"/>
          </w:tcPr>
          <w:p w14:paraId="32371012">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1501" w:type="pct"/>
            <w:tcBorders>
              <w:top w:val="nil"/>
              <w:left w:val="nil"/>
              <w:bottom w:val="single" w:color="auto" w:sz="4" w:space="0"/>
              <w:right w:val="single" w:color="auto" w:sz="4" w:space="0"/>
            </w:tcBorders>
            <w:shd w:val="clear" w:color="auto" w:fill="auto"/>
            <w:vAlign w:val="center"/>
          </w:tcPr>
          <w:p w14:paraId="6027C0DD">
            <w:pPr>
              <w:jc w:val="center"/>
              <w:rPr>
                <w:rFonts w:hint="default" w:ascii="Times New Roman" w:hAnsi="Times New Roman" w:eastAsia="仿宋_GB2312" w:cs="Times New Roman"/>
                <w:b/>
                <w:bCs/>
                <w:color w:val="000000"/>
                <w:sz w:val="21"/>
                <w:szCs w:val="21"/>
                <w:highlight w:val="none"/>
              </w:rPr>
            </w:pPr>
            <w:r>
              <w:rPr>
                <w:rFonts w:ascii="Times New Roman"/>
                <w:b/>
                <w:color w:val="000000"/>
                <w:sz w:val="21"/>
                <w:highlight w:val="none"/>
              </w:rPr>
              <w:t>99.6</w:t>
            </w:r>
          </w:p>
        </w:tc>
      </w:tr>
    </w:tbl>
    <w:p w14:paraId="3D08BC2B">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220DD9A2">
      <w:pPr>
        <w:pStyle w:val="12"/>
        <w:spacing w:before="0" w:after="0" w:line="560" w:lineRule="exact"/>
        <w:ind w:firstLine="643"/>
        <w:jc w:val="both"/>
        <w:rPr>
          <w:rFonts w:hint="default" w:ascii="Times New Roman" w:hAnsi="Times New Roman" w:eastAsia="楷体_GB2312" w:cs="Times New Roman"/>
          <w:b/>
          <w:bCs/>
          <w:color w:val="auto"/>
          <w:kern w:val="2"/>
          <w:sz w:val="32"/>
          <w:szCs w:val="32"/>
          <w:highlight w:val="none"/>
          <w:lang w:val="en-US" w:eastAsia="zh-CN" w:bidi="ar-SA"/>
        </w:rPr>
      </w:pPr>
      <w:r>
        <w:rPr>
          <w:rFonts w:hint="default" w:ascii="Times New Roman" w:hAnsi="Times New Roman" w:eastAsia="楷体_GB2312" w:cs="Times New Roman"/>
          <w:b/>
          <w:bCs/>
          <w:color w:val="auto"/>
          <w:kern w:val="2"/>
          <w:sz w:val="32"/>
          <w:szCs w:val="32"/>
          <w:highlight w:val="none"/>
          <w:lang w:val="en-US" w:eastAsia="zh-CN" w:bidi="ar-SA"/>
        </w:rPr>
        <w:t>（一）项目决策情况</w:t>
      </w:r>
    </w:p>
    <w:p w14:paraId="071C2395">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项目决策类指标包括项目立项、绩效目标和资金投入三方面的内容，由6个三级指标构成，权重分值为20分，实际得分20分，得分率为100%。</w:t>
      </w:r>
    </w:p>
    <w:p w14:paraId="72F66002">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3DDDABA8">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14:paraId="21D3C3A4">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6D75A82">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14:paraId="1BC0BF25">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ED664AB">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14:paraId="1F723291">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14:paraId="5428BACA">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780E3BB">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14:paraId="0A127FD3">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2DD7A436">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14:paraId="337D7BBA">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0E706A9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94E5C04">
      <w:pPr>
        <w:shd w:val="clear" w:color="auto" w:fill="auto"/>
        <w:spacing w:line="600" w:lineRule="exact"/>
        <w:ind w:firstLine="64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72C556C">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47909E5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BFD595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E66F8F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CE77452">
      <w:pPr>
        <w:keepNext w:val="0"/>
        <w:keepLines w:val="0"/>
        <w:pageBreakBefore w:val="0"/>
        <w:widowControl w:val="0"/>
        <w:kinsoku/>
        <w:wordWrap/>
        <w:overflowPunct/>
        <w:topLinePunct w:val="0"/>
        <w:autoSpaceDE/>
        <w:autoSpaceDN/>
        <w:bidi w:val="0"/>
        <w:adjustRightInd/>
        <w:snapToGrid/>
        <w:spacing w:line="560" w:lineRule="exact"/>
        <w:ind w:firstLine="1340" w:firstLineChars="419"/>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项目过程情况</w:t>
      </w:r>
    </w:p>
    <w:p w14:paraId="0395EC38">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项目过程类指标包括资金管理和组织实施两方面的内容，由5个三级指标构成，权重分值为20分，实际得分为19.6分率为 9</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p>
    <w:p w14:paraId="3083E162">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B1C4F11">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321758C4">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Style w:val="18"/>
          <w:rFonts w:hint="eastAsia" w:ascii="楷体" w:hAnsi="楷体" w:eastAsia="楷体"/>
          <w:spacing w:val="-4"/>
          <w:sz w:val="32"/>
          <w:szCs w:val="32"/>
          <w:highlight w:val="none"/>
          <w:lang w:val="en-US" w:eastAsia="zh-CN"/>
        </w:rPr>
        <w:t>674.93</w:t>
      </w:r>
      <w:r>
        <w:rPr>
          <w:rFonts w:hint="default" w:ascii="Times New Roman" w:hAnsi="Times New Roman" w:eastAsia="仿宋_GB2312" w:cs="Times New Roman"/>
          <w:sz w:val="32"/>
          <w:szCs w:val="32"/>
          <w:highlight w:val="none"/>
          <w:lang w:val="en-US" w:eastAsia="zh-CN"/>
        </w:rPr>
        <w:t>万元，财政资金及时足额到位，到位率</w:t>
      </w:r>
      <w:r>
        <w:rPr>
          <w:rStyle w:val="18"/>
          <w:rFonts w:hint="eastAsia" w:ascii="楷体" w:hAnsi="楷体" w:eastAsia="楷体"/>
          <w:spacing w:val="-4"/>
          <w:sz w:val="32"/>
          <w:szCs w:val="32"/>
          <w:highlight w:val="none"/>
          <w:lang w:val="en-US" w:eastAsia="zh-CN"/>
        </w:rPr>
        <w:t>97.05</w:t>
      </w:r>
      <w:r>
        <w:rPr>
          <w:rFonts w:hint="default" w:ascii="Times New Roman" w:hAnsi="Times New Roman" w:eastAsia="仿宋_GB2312" w:cs="Times New Roman"/>
          <w:sz w:val="32"/>
          <w:szCs w:val="32"/>
          <w:highlight w:val="none"/>
          <w:lang w:val="en-US" w:eastAsia="zh-CN"/>
        </w:rPr>
        <w:t>%，预算资金按计划进度执行。</w:t>
      </w:r>
    </w:p>
    <w:p w14:paraId="0EEA7A5F">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335EC5E">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Style w:val="18"/>
          <w:rFonts w:hint="eastAsia" w:ascii="楷体" w:hAnsi="楷体" w:eastAsia="楷体"/>
          <w:spacing w:val="-4"/>
          <w:sz w:val="32"/>
          <w:szCs w:val="32"/>
          <w:highlight w:val="none"/>
          <w:lang w:val="en-US" w:eastAsia="zh-CN"/>
        </w:rPr>
        <w:t>655</w:t>
      </w:r>
      <w:r>
        <w:rPr>
          <w:rFonts w:hint="default" w:ascii="Times New Roman" w:hAnsi="Times New Roman" w:eastAsia="仿宋_GB2312" w:cs="Times New Roman"/>
          <w:sz w:val="32"/>
          <w:szCs w:val="32"/>
          <w:highlight w:val="none"/>
          <w:lang w:val="en-US" w:eastAsia="zh-CN"/>
        </w:rPr>
        <w:t>万元，预算执行率为</w:t>
      </w:r>
      <w:r>
        <w:rPr>
          <w:rStyle w:val="18"/>
          <w:rFonts w:hint="eastAsia" w:ascii="楷体" w:hAnsi="楷体" w:eastAsia="楷体"/>
          <w:spacing w:val="-4"/>
          <w:sz w:val="32"/>
          <w:szCs w:val="32"/>
          <w:highlight w:val="none"/>
          <w:lang w:val="en-US" w:eastAsia="zh-CN"/>
        </w:rPr>
        <w:t>97.05</w:t>
      </w:r>
      <w:r>
        <w:rPr>
          <w:rFonts w:hint="default" w:ascii="Times New Roman" w:hAnsi="Times New Roman" w:eastAsia="仿宋_GB2312" w:cs="Times New Roman"/>
          <w:sz w:val="32"/>
          <w:szCs w:val="32"/>
          <w:highlight w:val="none"/>
          <w:lang w:val="en-US" w:eastAsia="zh-CN"/>
        </w:rPr>
        <w:t>%。</w:t>
      </w:r>
    </w:p>
    <w:p w14:paraId="60864DA9">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29D1591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D9A93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72477B8">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7EADB74">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6EB5A6D4">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3779E7B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78834E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1D60E85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58E62FC">
      <w:pPr>
        <w:shd w:val="clear" w:color="auto" w:fill="auto"/>
        <w:spacing w:line="600" w:lineRule="exact"/>
        <w:ind w:firstLine="64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5FA33F0">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4877F3D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14:paraId="1797739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F306D6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14:paraId="104F90F8">
      <w:pPr>
        <w:pStyle w:val="13"/>
        <w:numPr>
          <w:ilvl w:val="0"/>
          <w:numId w:val="2"/>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79ACA4F7">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39.7</w:t>
      </w:r>
      <w:r>
        <w:rPr>
          <w:rFonts w:hint="default" w:ascii="Times New Roman" w:hAnsi="Times New Roman" w:eastAsia="仿宋_GB2312" w:cs="Times New Roman"/>
          <w:sz w:val="32"/>
          <w:szCs w:val="32"/>
          <w:highlight w:val="none"/>
          <w:lang w:val="en-US" w:eastAsia="zh-CN"/>
        </w:rPr>
        <w:t>1分，得分率为99.</w:t>
      </w:r>
      <w:r>
        <w:rPr>
          <w:rFonts w:hint="eastAsia" w:ascii="Times New Roman" w:hAnsi="Times New Roman"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lang w:val="en-US" w:eastAsia="zh-CN"/>
        </w:rPr>
        <w:t>%。具体产出指标完成情况如下：</w:t>
      </w:r>
    </w:p>
    <w:p w14:paraId="411D1A18">
      <w:pPr>
        <w:shd w:val="clear" w:color="auto" w:fill="auto"/>
        <w:spacing w:line="600" w:lineRule="exact"/>
        <w:ind w:firstLine="640"/>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1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①</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数量指标：</w:t>
      </w:r>
    </w:p>
    <w:p w14:paraId="39AC1B12">
      <w:pPr>
        <w:widowControl w:val="0"/>
        <w:shd w:val="clear" w:color="auto" w:fill="auto"/>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指标1：参加城乡居民基本医疗保险人员，指标值：&gt;=125920人，实际完成值： 122201人 ，指标完成率</w:t>
      </w:r>
      <w:r>
        <w:rPr>
          <w:rFonts w:hint="eastAsia" w:ascii="Times New Roman" w:hAnsi="Times New Roman" w:eastAsia="仿宋_GB2312" w:cs="Times New Roman"/>
          <w:kern w:val="2"/>
          <w:sz w:val="32"/>
          <w:szCs w:val="32"/>
          <w:highlight w:val="none"/>
          <w:lang w:val="en-US" w:eastAsia="zh-CN" w:bidi="ar-SA"/>
        </w:rPr>
        <w:t>97.05%</w:t>
      </w:r>
      <w:r>
        <w:rPr>
          <w:rFonts w:hint="default" w:ascii="Times New Roman" w:hAnsi="Times New Roman" w:eastAsia="仿宋_GB2312" w:cs="Times New Roman"/>
          <w:kern w:val="2"/>
          <w:sz w:val="32"/>
          <w:szCs w:val="32"/>
          <w:highlight w:val="none"/>
          <w:lang w:val="en-US" w:eastAsia="zh-CN" w:bidi="ar-SA"/>
        </w:rPr>
        <w:t>%，偏差原因：</w:t>
      </w:r>
      <w:r>
        <w:rPr>
          <w:rFonts w:hint="eastAsia" w:ascii="Times New Roman" w:hAnsi="Times New Roman" w:eastAsia="仿宋_GB2312" w:cs="Times New Roman"/>
          <w:kern w:val="2"/>
          <w:sz w:val="32"/>
          <w:szCs w:val="32"/>
          <w:highlight w:val="none"/>
          <w:lang w:val="en-US" w:eastAsia="zh-CN" w:bidi="ar-SA"/>
        </w:rPr>
        <w:t>转职工，外地转学参保人员增多，新增参保人员减少。</w:t>
      </w:r>
    </w:p>
    <w:p w14:paraId="5A2BEC09">
      <w:pPr>
        <w:widowControl w:val="0"/>
        <w:shd w:val="clear" w:color="auto" w:fill="auto"/>
        <w:spacing w:line="600" w:lineRule="exact"/>
        <w:ind w:firstLine="640" w:firstLineChars="200"/>
        <w:jc w:val="both"/>
        <w:outlineLvl w:val="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2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②</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质量指标：指标1：常住人口参加城乡居民基本医疗保险比率 ，</w:t>
      </w:r>
      <w:r>
        <w:rPr>
          <w:rFonts w:hint="eastAsia" w:ascii="Times New Roman" w:hAnsi="Times New Roman" w:eastAsia="仿宋_GB2312" w:cs="Times New Roman"/>
          <w:kern w:val="2"/>
          <w:sz w:val="32"/>
          <w:szCs w:val="32"/>
          <w:highlight w:val="none"/>
          <w:lang w:val="en-US" w:eastAsia="zh-CN" w:bidi="ar-SA"/>
        </w:rPr>
        <w:t>指标值：&gt;=98%，实际完成值：98%，指标完成率100%。</w:t>
      </w:r>
    </w:p>
    <w:p w14:paraId="7070C115">
      <w:pPr>
        <w:widowControl w:val="0"/>
        <w:shd w:val="clear" w:color="auto" w:fill="auto"/>
        <w:spacing w:line="600" w:lineRule="exact"/>
        <w:ind w:firstLine="640" w:firstLineChars="200"/>
        <w:jc w:val="both"/>
        <w:outlineLvl w:val="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指标2：参保人员实际报销比例 ，</w:t>
      </w:r>
      <w:r>
        <w:rPr>
          <w:rFonts w:hint="eastAsia" w:ascii="Times New Roman" w:hAnsi="Times New Roman" w:eastAsia="仿宋_GB2312" w:cs="Times New Roman"/>
          <w:kern w:val="2"/>
          <w:sz w:val="32"/>
          <w:szCs w:val="32"/>
          <w:highlight w:val="none"/>
          <w:lang w:val="en-US" w:eastAsia="zh-CN" w:bidi="ar-SA"/>
        </w:rPr>
        <w:t>指标值：&gt;=60%%，实际完成值：60%% ，指标完成率100%。</w:t>
      </w:r>
    </w:p>
    <w:p w14:paraId="0A385717">
      <w:pPr>
        <w:widowControl w:val="0"/>
        <w:shd w:val="clear" w:color="auto" w:fill="auto"/>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w:t>
      </w:r>
      <w:r>
        <w:rPr>
          <w:rFonts w:hint="eastAsia" w:ascii="Times New Roman" w:hAnsi="Times New Roman" w:eastAsia="仿宋_GB2312" w:cs="Times New Roman"/>
          <w:kern w:val="2"/>
          <w:sz w:val="32"/>
          <w:szCs w:val="32"/>
          <w:highlight w:val="none"/>
          <w:lang w:val="en-US" w:eastAsia="zh-CN" w:bidi="ar-SA"/>
        </w:rPr>
        <w:t>3</w:t>
      </w:r>
      <w:r>
        <w:rPr>
          <w:rFonts w:hint="default" w:ascii="Times New Roman" w:hAnsi="Times New Roman" w:eastAsia="仿宋_GB2312" w:cs="Times New Roman"/>
          <w:kern w:val="2"/>
          <w:sz w:val="32"/>
          <w:szCs w:val="32"/>
          <w:highlight w:val="none"/>
          <w:lang w:val="en-US" w:eastAsia="zh-CN" w:bidi="ar-SA"/>
        </w:rPr>
        <w:t>：以户籍人口参保居民医疗保险比例</w:t>
      </w:r>
      <w:r>
        <w:rPr>
          <w:rFonts w:hint="eastAsia" w:ascii="Times New Roman" w:hAnsi="Times New Roman" w:eastAsia="仿宋_GB2312" w:cs="Times New Roman"/>
          <w:kern w:val="2"/>
          <w:sz w:val="32"/>
          <w:szCs w:val="32"/>
          <w:highlight w:val="none"/>
          <w:lang w:val="en-US" w:eastAsia="zh-CN" w:bidi="ar-SA"/>
        </w:rPr>
        <w:t>，指标值：&gt;=98%，实际完成值：98% ，指标完成率100%。</w:t>
      </w:r>
    </w:p>
    <w:p w14:paraId="30AD8A26">
      <w:pPr>
        <w:widowControl w:val="0"/>
        <w:shd w:val="clear" w:color="auto" w:fill="auto"/>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3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③</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时效指标：</w:t>
      </w:r>
      <w:r>
        <w:rPr>
          <w:rFonts w:hint="eastAsia" w:ascii="Times New Roman" w:hAnsi="Times New Roman" w:eastAsia="仿宋_GB2312" w:cs="Times New Roman"/>
          <w:kern w:val="2"/>
          <w:sz w:val="32"/>
          <w:szCs w:val="32"/>
          <w:highlight w:val="none"/>
          <w:lang w:val="en-US" w:eastAsia="zh-CN" w:bidi="ar-SA"/>
        </w:rPr>
        <w:t>发放城乡居民基本医疗保险补助资金及时率，指标值：=100%，实际完成值：100% ，指标完成率100%。</w:t>
      </w:r>
    </w:p>
    <w:p w14:paraId="54B329B0">
      <w:pPr>
        <w:widowControl w:val="0"/>
        <w:shd w:val="clear" w:color="auto" w:fill="auto"/>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4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④</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成本指标：</w:t>
      </w:r>
      <w:r>
        <w:rPr>
          <w:rFonts w:hint="eastAsia" w:ascii="Times New Roman" w:hAnsi="Times New Roman" w:eastAsia="仿宋_GB2312" w:cs="Times New Roman"/>
          <w:kern w:val="2"/>
          <w:sz w:val="32"/>
          <w:szCs w:val="32"/>
          <w:highlight w:val="none"/>
          <w:lang w:val="en-US" w:eastAsia="zh-CN" w:bidi="ar-SA"/>
        </w:rPr>
        <w:t>：城乡居民基本医疗保险县级配套资金标准指标值：=53.6元，，实际完成值：53.6元，指标完成率100%。</w:t>
      </w:r>
    </w:p>
    <w:p w14:paraId="7E2A870A">
      <w:pPr>
        <w:shd w:val="clear" w:color="auto" w:fill="auto"/>
        <w:spacing w:line="600" w:lineRule="exact"/>
        <w:ind w:firstLine="640"/>
        <w:outlineLvl w:val="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288A7007">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项目效益类指标包括项目实施效益和满意度两方面的内容，由1个三级指标构成，权重分为20分，实际得分20分，得分率为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6B792D33">
      <w:pPr>
        <w:shd w:val="clear" w:color="auto" w:fill="auto"/>
        <w:spacing w:line="600" w:lineRule="exact"/>
        <w:ind w:firstLine="64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7A1CAAF1">
      <w:pPr>
        <w:widowControl w:val="0"/>
        <w:shd w:val="clear" w:color="auto" w:fill="auto"/>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①社会效益指标：</w:t>
      </w:r>
      <w:r>
        <w:rPr>
          <w:rFonts w:hint="eastAsia" w:ascii="Times New Roman" w:hAnsi="Times New Roman" w:eastAsia="仿宋_GB2312" w:cs="Times New Roman"/>
          <w:kern w:val="2"/>
          <w:sz w:val="32"/>
          <w:szCs w:val="32"/>
          <w:highlight w:val="none"/>
          <w:lang w:val="en-US" w:eastAsia="zh-CN" w:bidi="ar-SA"/>
        </w:rPr>
        <w:t>减轻参保人员就医经济负担，指标值：有效减轻，实际完成值：有效减轻 ，指标完成率100%。</w:t>
      </w:r>
    </w:p>
    <w:p w14:paraId="374DC880">
      <w:pPr>
        <w:widowControl w:val="0"/>
        <w:numPr>
          <w:ilvl w:val="0"/>
          <w:numId w:val="0"/>
        </w:numPr>
        <w:shd w:val="clear" w:color="auto" w:fill="auto"/>
        <w:spacing w:line="600" w:lineRule="exact"/>
        <w:ind w:firstLine="640" w:firstLineChars="200"/>
        <w:jc w:val="both"/>
        <w:outlineLvl w:val="0"/>
        <w:rPr>
          <w:rFonts w:hint="eastAsia"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w:t>
      </w:r>
      <w:r>
        <w:rPr>
          <w:rFonts w:hint="default" w:ascii="Times New Roman" w:hAnsi="Times New Roman" w:eastAsia="仿宋_GB2312" w:cs="Times New Roman"/>
          <w:kern w:val="2"/>
          <w:sz w:val="32"/>
          <w:szCs w:val="32"/>
          <w:highlight w:val="none"/>
          <w:lang w:val="en-US" w:eastAsia="zh-CN" w:bidi="ar-SA"/>
        </w:rPr>
        <w:t>满意度</w:t>
      </w:r>
      <w:r>
        <w:rPr>
          <w:rFonts w:hint="eastAsia" w:ascii="Times New Roman" w:hAnsi="Times New Roman" w:eastAsia="仿宋_GB2312" w:cs="Times New Roman"/>
          <w:kern w:val="2"/>
          <w:sz w:val="32"/>
          <w:szCs w:val="32"/>
          <w:highlight w:val="none"/>
          <w:lang w:val="en-US" w:eastAsia="zh-CN" w:bidi="ar-SA"/>
        </w:rPr>
        <w:t>：城乡居民基本医疗保险参保对象满意度，指标值：&gt;=95%，实际完成值：95% ，指标完成率100%。</w:t>
      </w:r>
    </w:p>
    <w:p w14:paraId="4DD6FBDF">
      <w:pPr>
        <w:widowControl w:val="0"/>
        <w:numPr>
          <w:ilvl w:val="0"/>
          <w:numId w:val="0"/>
        </w:numPr>
        <w:shd w:val="clear" w:color="auto" w:fill="auto"/>
        <w:spacing w:line="600" w:lineRule="exact"/>
        <w:jc w:val="both"/>
        <w:outlineLvl w:val="0"/>
        <w:rPr>
          <w:rFonts w:hint="default" w:ascii="Times New Roman" w:hAnsi="Times New Roman" w:eastAsia="仿宋_GB2312" w:cs="Times New Roman"/>
          <w:kern w:val="2"/>
          <w:sz w:val="32"/>
          <w:szCs w:val="32"/>
          <w:highlight w:val="none"/>
          <w:lang w:val="en-US" w:eastAsia="zh-CN" w:bidi="ar-SA"/>
        </w:rPr>
      </w:pPr>
    </w:p>
    <w:p w14:paraId="7DC09FD9">
      <w:pPr>
        <w:widowControl w:val="0"/>
        <w:spacing w:line="560" w:lineRule="exact"/>
        <w:ind w:firstLine="640" w:firstLineChars="200"/>
        <w:jc w:val="both"/>
        <w:rPr>
          <w:rFonts w:hint="default" w:eastAsia="黑体" w:cs="Times New Roman"/>
          <w:kern w:val="2"/>
          <w:sz w:val="32"/>
          <w:szCs w:val="32"/>
          <w:highlight w:val="none"/>
          <w:lang w:val="en-US" w:bidi="ar-SA"/>
        </w:rPr>
      </w:pPr>
      <w:r>
        <w:rPr>
          <w:rFonts w:hint="default" w:eastAsia="黑体" w:cs="Times New Roman"/>
          <w:kern w:val="2"/>
          <w:sz w:val="32"/>
          <w:szCs w:val="32"/>
          <w:highlight w:val="none"/>
          <w:lang w:val="en-US" w:eastAsia="zh-CN" w:bidi="ar-SA"/>
        </w:rPr>
        <w:t>（五）</w:t>
      </w:r>
      <w:r>
        <w:rPr>
          <w:rFonts w:hint="default" w:eastAsia="黑体" w:cs="Times New Roman"/>
          <w:kern w:val="2"/>
          <w:sz w:val="32"/>
          <w:szCs w:val="32"/>
          <w:highlight w:val="none"/>
          <w:lang w:val="en-US" w:bidi="ar-SA"/>
        </w:rPr>
        <w:t>预算执行进度与绩效指标总体完成率偏差</w:t>
      </w:r>
    </w:p>
    <w:p w14:paraId="28E1B0D9">
      <w:pPr>
        <w:spacing w:line="560" w:lineRule="exact"/>
        <w:ind w:firstLine="64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城乡居民基本医疗保险</w:t>
      </w:r>
      <w:r>
        <w:rPr>
          <w:rFonts w:hint="default" w:ascii="Times New Roman" w:hAnsi="Times New Roman" w:eastAsia="仿宋_GB2312" w:cs="Times New Roman"/>
          <w:sz w:val="32"/>
          <w:szCs w:val="32"/>
          <w:highlight w:val="none"/>
          <w:lang w:val="en-US" w:eastAsia="zh-CN"/>
        </w:rPr>
        <w:t>项目年初预算</w:t>
      </w:r>
      <w:r>
        <w:rPr>
          <w:rFonts w:hint="eastAsia" w:ascii="Times New Roman" w:hAnsi="Times New Roman" w:eastAsia="仿宋_GB2312" w:cs="Times New Roman"/>
          <w:sz w:val="32"/>
          <w:szCs w:val="32"/>
          <w:highlight w:val="none"/>
          <w:lang w:val="en-US" w:eastAsia="zh-CN"/>
        </w:rPr>
        <w:t>674.93</w:t>
      </w:r>
      <w:r>
        <w:rPr>
          <w:rFonts w:hint="default" w:ascii="Times New Roman" w:hAnsi="Times New Roman" w:eastAsia="仿宋_GB2312" w:cs="Times New Roman"/>
          <w:sz w:val="32"/>
          <w:szCs w:val="32"/>
          <w:highlight w:val="none"/>
          <w:lang w:val="en-US" w:eastAsia="zh-CN"/>
        </w:rPr>
        <w:t>万元，全年预算</w:t>
      </w:r>
      <w:r>
        <w:rPr>
          <w:rFonts w:hint="eastAsia" w:ascii="Times New Roman" w:hAnsi="Times New Roman" w:eastAsia="仿宋_GB2312" w:cs="Times New Roman"/>
          <w:sz w:val="32"/>
          <w:szCs w:val="32"/>
          <w:highlight w:val="none"/>
          <w:lang w:val="en-US" w:eastAsia="zh-CN"/>
        </w:rPr>
        <w:t>674.93</w:t>
      </w:r>
      <w:r>
        <w:rPr>
          <w:rFonts w:hint="default" w:ascii="Times New Roman" w:hAnsi="Times New Roman" w:eastAsia="仿宋_GB2312" w:cs="Times New Roman"/>
          <w:sz w:val="32"/>
          <w:szCs w:val="32"/>
          <w:highlight w:val="none"/>
          <w:lang w:val="en-US" w:eastAsia="zh-CN"/>
        </w:rPr>
        <w:t>万元，实际支出</w:t>
      </w:r>
      <w:r>
        <w:rPr>
          <w:rFonts w:hint="eastAsia" w:ascii="Times New Roman" w:hAnsi="Times New Roman" w:eastAsia="仿宋_GB2312" w:cs="Times New Roman"/>
          <w:sz w:val="32"/>
          <w:szCs w:val="32"/>
          <w:highlight w:val="none"/>
          <w:lang w:val="en-US" w:eastAsia="zh-CN"/>
        </w:rPr>
        <w:t>655</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97.05</w:t>
      </w:r>
      <w:r>
        <w:rPr>
          <w:rFonts w:hint="default" w:ascii="Times New Roman" w:hAnsi="Times New Roman" w:eastAsia="仿宋_GB2312" w:cs="Times New Roman"/>
          <w:sz w:val="32"/>
          <w:szCs w:val="32"/>
          <w:highlight w:val="none"/>
          <w:lang w:val="en-US" w:eastAsia="zh-CN"/>
        </w:rPr>
        <w:t>%，项目绩效指标总体完成率为</w:t>
      </w:r>
      <w:r>
        <w:rPr>
          <w:rFonts w:hint="eastAsia" w:ascii="Times New Roman" w:hAnsi="Times New Roman" w:eastAsia="仿宋_GB2312" w:cs="Times New Roman"/>
          <w:sz w:val="32"/>
          <w:szCs w:val="32"/>
          <w:highlight w:val="none"/>
          <w:lang w:val="en-US" w:eastAsia="zh-CN"/>
        </w:rPr>
        <w:t>99.63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总体</w:t>
      </w:r>
      <w:r>
        <w:rPr>
          <w:rFonts w:hint="default" w:ascii="Times New Roman" w:hAnsi="Times New Roman" w:eastAsia="仿宋_GB2312" w:cs="Times New Roman"/>
          <w:sz w:val="32"/>
          <w:szCs w:val="32"/>
          <w:highlight w:val="none"/>
          <w:lang w:val="en-US" w:eastAsia="zh-CN"/>
        </w:rPr>
        <w:t>偏差率为</w:t>
      </w:r>
      <w:r>
        <w:rPr>
          <w:rFonts w:hint="eastAsia" w:ascii="Times New Roman" w:hAnsi="Times New Roman" w:eastAsia="仿宋_GB2312" w:cs="Times New Roman"/>
          <w:sz w:val="32"/>
          <w:szCs w:val="32"/>
          <w:highlight w:val="none"/>
          <w:lang w:val="en-US" w:eastAsia="zh-CN"/>
        </w:rPr>
        <w:t>0.37</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偏差</w:t>
      </w:r>
      <w:r>
        <w:rPr>
          <w:rFonts w:hint="default" w:ascii="Times New Roman" w:hAnsi="Times New Roman" w:eastAsia="仿宋_GB2312" w:cs="Times New Roman"/>
          <w:sz w:val="32"/>
          <w:szCs w:val="32"/>
          <w:highlight w:val="none"/>
          <w:lang w:val="en-US" w:eastAsia="zh-CN"/>
        </w:rPr>
        <w:t>原因</w:t>
      </w:r>
      <w:r>
        <w:rPr>
          <w:rFonts w:hint="eastAsia" w:ascii="Times New Roman" w:hAnsi="Times New Roman" w:eastAsia="仿宋_GB2312" w:cs="Times New Roman"/>
          <w:sz w:val="32"/>
          <w:szCs w:val="32"/>
          <w:highlight w:val="none"/>
          <w:lang w:val="en-US" w:eastAsia="zh-CN"/>
        </w:rPr>
        <w:t>：参保人员转职工，外地转学参保人员增多，新增参保人员减少等原因达不到目标</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rPr>
        <w:t>改进</w:t>
      </w:r>
      <w:r>
        <w:rPr>
          <w:rFonts w:hint="default" w:ascii="Times New Roman" w:hAnsi="Times New Roman" w:eastAsia="仿宋_GB2312" w:cs="Times New Roman"/>
          <w:sz w:val="32"/>
          <w:szCs w:val="32"/>
          <w:highlight w:val="none"/>
          <w:lang w:val="en-US" w:eastAsia="zh-CN"/>
        </w:rPr>
        <w:t>措施</w:t>
      </w:r>
      <w:r>
        <w:rPr>
          <w:rFonts w:hint="eastAsia" w:ascii="Times New Roman" w:hAnsi="Times New Roman" w:eastAsia="仿宋_GB2312" w:cs="Times New Roman"/>
          <w:sz w:val="32"/>
          <w:szCs w:val="32"/>
          <w:highlight w:val="none"/>
          <w:lang w:val="en-US" w:eastAsia="zh-CN"/>
        </w:rPr>
        <w:t>：通过发布宣传资料，电视媒体滚动播放，以会代训等各种途径进行广泛的宣传动员，让群众理解、支持并积极参保，超额完成目标。</w:t>
      </w:r>
    </w:p>
    <w:p w14:paraId="47DE69E0">
      <w:pPr>
        <w:spacing w:line="560" w:lineRule="exact"/>
        <w:ind w:firstLine="640"/>
        <w:rPr>
          <w:rStyle w:val="22"/>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14:paraId="0E7B9978">
      <w:pPr>
        <w:spacing w:line="560" w:lineRule="exact"/>
        <w:ind w:firstLine="627"/>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14:paraId="0EAB1544">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1719EAE">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严格坚持先做事、后验收、再拨付的原则，</w:t>
      </w:r>
      <w:r>
        <w:rPr>
          <w:rFonts w:hint="eastAsia" w:ascii="Times New Roman" w:hAnsi="Times New Roman" w:eastAsia="仿宋_GB2312" w:cs="Times New Roman"/>
          <w:sz w:val="32"/>
          <w:szCs w:val="32"/>
          <w:highlight w:val="none"/>
          <w:lang w:eastAsia="zh-CN"/>
        </w:rPr>
        <w:t>杜绝</w:t>
      </w:r>
      <w:r>
        <w:rPr>
          <w:rFonts w:hint="default" w:ascii="Times New Roman" w:hAnsi="Times New Roman" w:eastAsia="仿宋_GB2312" w:cs="Times New Roman"/>
          <w:sz w:val="32"/>
          <w:szCs w:val="3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4BFFF52">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1E669429">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7BF3317">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253D3EFB">
      <w:pPr>
        <w:spacing w:line="560" w:lineRule="exact"/>
        <w:ind w:firstLine="64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14:paraId="498194C1">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452904B4">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77C62CE4">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B72C66A">
      <w:pPr>
        <w:shd w:val="clear" w:color="auto" w:fill="auto"/>
        <w:spacing w:line="600" w:lineRule="exact"/>
        <w:ind w:firstLine="64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7DAF4B56">
      <w:pPr>
        <w:shd w:val="clear" w:color="auto"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7210AAC">
      <w:pPr>
        <w:spacing w:line="560" w:lineRule="exact"/>
        <w:ind w:firstLine="64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14:paraId="12B93B07">
      <w:pPr>
        <w:pStyle w:val="14"/>
        <w:spacing w:after="0" w:line="560" w:lineRule="exact"/>
        <w:ind w:left="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本项目无其他需说明的问题。</w:t>
      </w:r>
    </w:p>
    <w:p w14:paraId="0D6E0217">
      <w:pPr>
        <w:pStyle w:val="14"/>
        <w:spacing w:after="0" w:line="560" w:lineRule="exact"/>
        <w:ind w:left="0" w:firstLine="640"/>
        <w:rPr>
          <w:rFonts w:hint="eastAsia" w:ascii="Times New Roman" w:hAnsi="Times New Roman" w:eastAsia="仿宋_GB2312" w:cs="Times New Roman"/>
          <w:sz w:val="32"/>
          <w:szCs w:val="32"/>
          <w:highlight w:val="none"/>
          <w:lang w:eastAsia="zh-CN"/>
        </w:rPr>
      </w:pPr>
    </w:p>
    <w:p w14:paraId="241E0FB1">
      <w:pPr>
        <w:rPr>
          <w:rFonts w:hint="default" w:ascii="Times New Roman" w:hAnsi="Times New Roman" w:cs="Times New Roman"/>
        </w:rPr>
      </w:pPr>
    </w:p>
    <w:bookmarkEnd w:id="1"/>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4E121165">
        <w:pPr>
          <w:pStyle w:val="8"/>
          <w:jc w:val="center"/>
        </w:pPr>
        <w:r>
          <w:fldChar w:fldCharType="begin"/>
        </w:r>
        <w:r>
          <w:instrText xml:space="preserve">PAGE   \* MERGEFORMAT</w:instrText>
        </w:r>
        <w:r>
          <w:fldChar w:fldCharType="separate"/>
        </w:r>
        <w:r>
          <w:rPr>
            <w:lang w:val="zh-CN"/>
          </w:rPr>
          <w:t>13</w:t>
        </w:r>
        <w:r>
          <w:fldChar w:fldCharType="end"/>
        </w:r>
      </w:p>
    </w:sdtContent>
  </w:sdt>
  <w:p w14:paraId="7CFB81D2">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2"/>
      <w:numFmt w:val="chineseCounting"/>
      <w:suff w:val="nothing"/>
      <w:lvlText w:val="（%1）"/>
      <w:lvlJc w:val="left"/>
      <w:rPr>
        <w:rFonts w:hint="eastAsia"/>
      </w:rPr>
    </w:lvl>
  </w:abstractNum>
  <w:abstractNum w:abstractNumId="1">
    <w:nsid w:val="0053208E"/>
    <w:multiLevelType w:val="singleLevel"/>
    <w:tmpl w:val="0053208E"/>
    <w:lvl w:ilvl="0" w:tentative="0">
      <w:start w:val="1"/>
      <w:numFmt w:val="chineseCounting"/>
      <w:suff w:val="nothing"/>
      <w:lvlText w:val="（%1）"/>
      <w:lvlJc w:val="left"/>
      <w:rPr>
        <w:rFonts w:hint="eastAsia"/>
      </w:rPr>
    </w:lvl>
  </w:abstractNum>
  <w:abstractNum w:abstractNumId="2">
    <w:nsid w:val="59ADCABA"/>
    <w:multiLevelType w:val="singleLevel"/>
    <w:tmpl w:val="59ADCABA"/>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5BA86C4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rPr>
  </w:style>
  <w:style w:type="paragraph" w:styleId="2">
    <w:name w:val="heading 1"/>
    <w:basedOn w:val="1"/>
    <w:next w:val="1"/>
    <w:qFormat/>
    <w:uiPriority w:val="0"/>
    <w:pPr>
      <w:spacing w:before="480"/>
    </w:pPr>
    <w:rPr>
      <w:b/>
      <w:color w:val="345A8A"/>
      <w:sz w:val="32"/>
    </w:rPr>
  </w:style>
  <w:style w:type="paragraph" w:styleId="3">
    <w:name w:val="heading 2"/>
    <w:basedOn w:val="1"/>
    <w:next w:val="1"/>
    <w:qFormat/>
    <w:uiPriority w:val="0"/>
    <w:pPr>
      <w:spacing w:before="200"/>
    </w:pPr>
    <w:rPr>
      <w:b/>
      <w:color w:val="4F81BD"/>
      <w:sz w:val="26"/>
    </w:rPr>
  </w:style>
  <w:style w:type="paragraph" w:styleId="4">
    <w:name w:val="heading 3"/>
    <w:basedOn w:val="1"/>
    <w:next w:val="1"/>
    <w:qFormat/>
    <w:uiPriority w:val="0"/>
    <w:pPr>
      <w:spacing w:before="200"/>
    </w:pPr>
    <w:rPr>
      <w:b/>
      <w:color w:val="4F81BD"/>
      <w:sz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pPr>
    <w:rPr>
      <w:rFonts w:ascii="Calibri" w:hAnsi="Calibri"/>
    </w:rPr>
  </w:style>
  <w:style w:type="paragraph" w:styleId="7">
    <w:name w:val="Balloon Text"/>
    <w:basedOn w:val="1"/>
    <w:link w:val="24"/>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qFormat/>
    <w:uiPriority w:val="0"/>
    <w:rPr>
      <w:i/>
      <w:color w:val="4F81BD"/>
      <w:sz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Title"/>
    <w:basedOn w:val="1"/>
    <w:next w:val="1"/>
    <w:qFormat/>
    <w:uiPriority w:val="0"/>
    <w:pPr>
      <w:spacing w:after="300"/>
    </w:pPr>
    <w:rPr>
      <w:color w:val="17365D"/>
      <w:sz w:val="52"/>
    </w:rPr>
  </w:style>
  <w:style w:type="paragraph" w:styleId="13">
    <w:name w:val="Body Text First Indent"/>
    <w:basedOn w:val="5"/>
    <w:qFormat/>
    <w:uiPriority w:val="0"/>
    <w:pPr>
      <w:spacing w:after="0"/>
      <w:ind w:firstLine="200"/>
    </w:pPr>
  </w:style>
  <w:style w:type="paragraph" w:styleId="14">
    <w:name w:val="Body Text First Indent 2"/>
    <w:basedOn w:val="6"/>
    <w:qFormat/>
    <w:uiPriority w:val="0"/>
    <w:pPr>
      <w:ind w:firstLine="420"/>
    </w:pPr>
  </w:style>
  <w:style w:type="table" w:styleId="1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basedOn w:val="17"/>
    <w:qFormat/>
    <w:uiPriority w:val="0"/>
    <w:rPr>
      <w:b/>
      <w:bCs/>
    </w:rPr>
  </w:style>
  <w:style w:type="paragraph" w:customStyle="1" w:styleId="19">
    <w:name w:val="Comment Text"/>
    <w:basedOn w:val="1"/>
    <w:link w:val="26"/>
    <w:qFormat/>
    <w:uiPriority w:val="0"/>
    <w:pPr>
      <w:jc w:val="left"/>
    </w:pPr>
  </w:style>
  <w:style w:type="paragraph" w:customStyle="1" w:styleId="20">
    <w:name w:val="Comment Subject"/>
    <w:basedOn w:val="19"/>
    <w:next w:val="19"/>
    <w:link w:val="27"/>
    <w:qFormat/>
    <w:uiPriority w:val="0"/>
    <w:rPr>
      <w:b/>
      <w:bCs/>
    </w:rPr>
  </w:style>
  <w:style w:type="character" w:customStyle="1" w:styleId="21">
    <w:name w:val="Comment Reference"/>
    <w:basedOn w:val="17"/>
    <w:qFormat/>
    <w:uiPriority w:val="0"/>
    <w:rPr>
      <w:sz w:val="21"/>
      <w:szCs w:val="21"/>
    </w:rPr>
  </w:style>
  <w:style w:type="character" w:customStyle="1" w:styleId="22">
    <w:name w:val="fontstyle01"/>
    <w:qFormat/>
    <w:uiPriority w:val="0"/>
    <w:rPr>
      <w:rFonts w:ascii="仿宋_GB2312" w:hAnsi="仿宋_GB2312" w:eastAsia="仿宋_GB2312" w:cs="仿宋_GB2312"/>
      <w:color w:val="000000"/>
      <w:sz w:val="32"/>
      <w:szCs w:val="32"/>
    </w:rPr>
  </w:style>
  <w:style w:type="paragraph" w:customStyle="1" w:styleId="23">
    <w:name w:val="闻政-正文段落文字"/>
    <w:basedOn w:val="1"/>
    <w:qFormat/>
    <w:uiPriority w:val="3"/>
    <w:pPr>
      <w:spacing w:line="500" w:lineRule="exact"/>
      <w:ind w:firstLine="200"/>
    </w:pPr>
    <w:rPr>
      <w:kern w:val="0"/>
      <w:szCs w:val="28"/>
    </w:rPr>
  </w:style>
  <w:style w:type="character" w:customStyle="1" w:styleId="24">
    <w:name w:val="批注框文本 字符"/>
    <w:basedOn w:val="17"/>
    <w:link w:val="7"/>
    <w:qFormat/>
    <w:uiPriority w:val="0"/>
    <w:rPr>
      <w:rFonts w:ascii="Times New Roman" w:hAnsi="Times New Roman" w:eastAsia="宋体" w:cs="Times New Roman"/>
      <w:kern w:val="2"/>
      <w:sz w:val="18"/>
      <w:szCs w:val="18"/>
    </w:rPr>
  </w:style>
  <w:style w:type="character" w:customStyle="1" w:styleId="25">
    <w:name w:val="页眉 字符"/>
    <w:basedOn w:val="17"/>
    <w:link w:val="9"/>
    <w:qFormat/>
    <w:uiPriority w:val="0"/>
    <w:rPr>
      <w:rFonts w:ascii="Times New Roman" w:hAnsi="Times New Roman" w:eastAsia="宋体" w:cs="Times New Roman"/>
      <w:kern w:val="2"/>
      <w:sz w:val="18"/>
      <w:szCs w:val="18"/>
    </w:rPr>
  </w:style>
  <w:style w:type="character" w:customStyle="1" w:styleId="26">
    <w:name w:val="批注文字 字符"/>
    <w:basedOn w:val="17"/>
    <w:link w:val="19"/>
    <w:qFormat/>
    <w:uiPriority w:val="0"/>
    <w:rPr>
      <w:rFonts w:ascii="Times New Roman" w:hAnsi="Times New Roman" w:eastAsia="宋体" w:cs="Times New Roman"/>
      <w:kern w:val="2"/>
      <w:sz w:val="21"/>
      <w:szCs w:val="24"/>
    </w:rPr>
  </w:style>
  <w:style w:type="character" w:customStyle="1" w:styleId="27">
    <w:name w:val="批注主题 字符"/>
    <w:basedOn w:val="26"/>
    <w:link w:val="2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12FFFF22C52E41B1951335192AA883DF_13</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b2ec4d0c-ee9c-4df1-80ea-daaf4390af8d}">
  <ds:schemaRefs/>
</ds:datastoreItem>
</file>

<file path=docProps/app.xml><?xml version="1.0" encoding="utf-8"?>
<Properties xmlns="http://schemas.openxmlformats.org/officeDocument/2006/extended-properties" xmlns:vt="http://schemas.openxmlformats.org/officeDocument/2006/docPropsVTypes">
  <Template>Normal</Template>
  <Pages>23</Pages>
  <Words>5969</Words>
  <Characters>6157</Characters>
  <Lines>58</Lines>
  <Paragraphs>16</Paragraphs>
  <TotalTime>2</TotalTime>
  <ScaleCrop>false</ScaleCrop>
  <LinksUpToDate>false</LinksUpToDate>
  <CharactersWithSpaces>6163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蹁跹</cp:lastModifiedBy>
  <dcterms:modified xsi:type="dcterms:W3CDTF">2025-11-13T05:45:23Z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12FFFF22C52E41B1951335192AA883DF_13</vt:lpwstr>
  </property>
  <property fmtid="{D5CDD505-2E9C-101B-9397-08002B2CF9AE}" pid="4" name="KSOTemplateDocerSaveRecord">
    <vt:lpwstr>eyJoZGlkIjoiZjc0YWFlMzUxNjVlZTcxY2FlZTNjZDFlMzE3YzBjNDEiLCJ1c2VySWQiOiIxMTU3MzgyOTA5In0=</vt:lpwstr>
  </property>
</Properties>
</file>