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2AD47"/>
    <w:p w14:paraId="7BC21E3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1" w:firstLineChars="200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1303F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1" w:firstLineChars="200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DE1342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C5BE0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1" w:firstLineChars="200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988159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伊犁州特克斯县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呼吉尔特蒙古族乡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牧民</w:t>
      </w:r>
    </w:p>
    <w:p w14:paraId="1216589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越冬放牧点生产用房（居住）建设项目</w:t>
      </w:r>
    </w:p>
    <w:p w14:paraId="52A4B48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支出绩效评价报告</w:t>
      </w:r>
    </w:p>
    <w:p w14:paraId="5AC32CB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1" w:firstLineChars="200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41BDB1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4267671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79226E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70F0E8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5A22A0C0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rPr>
          <w:rFonts w:hint="default" w:ascii="Times New Roman" w:hAnsi="Times New Roman" w:cs="Times New Roman"/>
        </w:rPr>
      </w:pPr>
    </w:p>
    <w:p w14:paraId="0EAD4F8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80134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5A101A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238" w:leftChars="304" w:right="0" w:hanging="1600" w:hangingChars="5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</w:rPr>
        <w:t>伊州财建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</w:rPr>
        <w:t>2024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</w:rPr>
        <w:t>81号2024年城乡抗震安居工程呼吉尔特村牧民越冬放牧点生产用房（居住）建设项目</w:t>
      </w:r>
    </w:p>
    <w:p w14:paraId="2669C37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特克斯县呼吉尔特蒙古族乡人民政府</w:t>
      </w:r>
    </w:p>
    <w:p w14:paraId="1537D8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特克斯县呼吉尔特蒙古族乡人民政府</w:t>
      </w:r>
    </w:p>
    <w:p w14:paraId="7931C9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bookmarkStart w:id="8" w:name="_GoBack"/>
      <w:bookmarkEnd w:id="8"/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夏乐哈尔</w:t>
      </w:r>
    </w:p>
    <w:p w14:paraId="46076F4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填报时间：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日</w:t>
      </w:r>
    </w:p>
    <w:p w14:paraId="57DF89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 w14:paraId="664D576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2F754FC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56A40E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0321C556">
      <w:pPr>
        <w:pStyle w:val="11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为认真贯彻落实自治区、自治州、县委2024年“十件民生实事”工作要求，坚持“人民至上、生命至上”，及时消除牧民越冬放牧点生产用房(居住)安全隐患，保障我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乡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各族农牧民群众的生命财产安全。依据：《关于申请特克斯县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呼吉尔特蒙古族乡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牧民越冬放牧点生产用房（居住）建设项目拨付工程款的报告》《关于下达2024年城乡抗震安居工程建设民生实施资金预算的通知》伊州财建81号。</w:t>
      </w:r>
    </w:p>
    <w:p w14:paraId="49063128">
      <w:pPr>
        <w:pStyle w:val="11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326E57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项目占地面积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平方米，建设16平方米轻钢结构牧民越冬放牧点生产用房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套及其附属设施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CF3CC0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eastAsia="仿宋_GB2312"/>
          <w:sz w:val="32"/>
          <w:szCs w:val="32"/>
        </w:rPr>
        <w:t>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423FF2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2D3B28BF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2033A71D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2E78ED88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（2）资金使用情况</w:t>
      </w:r>
    </w:p>
    <w:p w14:paraId="20BDAA0E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119.84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%，主要用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一套用于3万元共五十套150万元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B9BC2A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FEF5A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OLE_LINK10"/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475CBF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通过《关于下达2024年城乡抗震安居工程建设民生实施资金预算的通知》伊州财建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〔2024〕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81号，完成拆除及新建工作。在综合研判我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牧区地质结构和运费的基础上，实施面积为15-30平方米木结构房屋，轻钢房，共建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50户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，单户建房价格控制在3万元以内，同时达到抗震、保温、防水要求，牧民越冬放牧点生产用房(居住)建成后上级有关部门按照相关要求进行验收。改善牧民生活环境，提供牧民住房保障，提供居民生活水平。</w:t>
      </w:r>
    </w:p>
    <w:p w14:paraId="65A1E3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7BA1F8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2024年8月1日至8月15日完成项目前期手续；</w:t>
      </w:r>
    </w:p>
    <w:p w14:paraId="2A562C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2024年8月20日开工建设：</w:t>
      </w:r>
    </w:p>
    <w:p w14:paraId="0C0A0D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2024年10月24日前完成项目竣工验收：</w:t>
      </w:r>
    </w:p>
    <w:p w14:paraId="480BF3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2025年5月完成项目绩效自评工作。</w:t>
      </w:r>
      <w:bookmarkEnd w:id="0"/>
    </w:p>
    <w:p w14:paraId="651C33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38E32A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47A0904E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74FE09A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348C51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维度，力求全方位反映项目的绩效状况。同时，对于每个指标的评价标准和数据来源均进行了明确说明，确保评价结果的客观性和可追溯性。</w:t>
      </w:r>
    </w:p>
    <w:p w14:paraId="1B3D02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E6AA1F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52F155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5E5989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75ED0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0D0B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通过对项目预算执行情况及各项绩效目标达成程度的系统性分析，全面、客观地评估项目在预定周期内的实施效果，包括社会效益等维度指标，为项目后续的改进与优化提供科学依据。</w:t>
      </w:r>
    </w:p>
    <w:p w14:paraId="6FBF8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540D5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2B701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34E9C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C47D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51D25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64A9B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0A80D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5424B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2DA55984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绩效评价的对象</w:t>
      </w:r>
    </w:p>
    <w:p w14:paraId="18040D4E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本项目预算绩效评价报告的评价对象是伊犁州特克斯县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呼吉尔特蒙古族乡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牧民越冬放牧点生产用房（居住）建设项目及其预算执行情况。该项目由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特克斯县呼吉尔特蒙古族乡人民政府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负责实施，旨在通过完成拆除及新建工作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在综合研判我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乡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牧区地质结构和运费的基础上，实施面积为15-30平方米木结构房屋，轻钢房，共建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户，单户建房价格控制在3万元以内，同时达到抗震、保温、防水要求，牧民越冬放牧点生产用房(居住)建成后上级有关部门按照相关要求进行验收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改善牧民生活环境，提供牧民住房保障，提供居民生活水平。项目预算涵盖从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2024年8月20日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2024年10月24日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119.84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2C092EC5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21B2F21A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5F97250E">
      <w:pPr>
        <w:pStyle w:val="11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79711CBC">
      <w:pPr>
        <w:pStyle w:val="11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77E84910">
      <w:pPr>
        <w:pStyle w:val="11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5738F0EF">
      <w:pPr>
        <w:pStyle w:val="11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社会影响：城乡抗震安居工程建设房屋安全隐患排查整治成果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成效明显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。</w:t>
      </w:r>
    </w:p>
    <w:p w14:paraId="6B7668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（二）绩效评价原则、评价指标体系（详情见表1）、评价方法、评价标准。</w:t>
      </w:r>
    </w:p>
    <w:p w14:paraId="21704459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绩效评价原则</w:t>
      </w:r>
    </w:p>
    <w:p w14:paraId="62765D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本次项目绩效评价遵循以下基本原则：</w:t>
      </w:r>
    </w:p>
    <w:p w14:paraId="635A9A7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41B5A1D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0A468A1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28AD655C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（4）公开透明。绩效评价结果应依法依规公开，并自觉接受社会监督。</w:t>
      </w:r>
    </w:p>
    <w:p w14:paraId="0D5A8824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评价指标体系</w:t>
      </w:r>
    </w:p>
    <w:p w14:paraId="3B4FAF3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13D96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（1）确定评价指标</w:t>
      </w:r>
    </w:p>
    <w:p w14:paraId="7631283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9C1803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（2）确定权重</w:t>
      </w:r>
    </w:p>
    <w:p w14:paraId="07B476F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3CBA687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（3）确定指标标准值</w:t>
      </w:r>
    </w:p>
    <w:p w14:paraId="424EB1B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EB41E55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kern w:val="0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4A0556BC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kern w:val="0"/>
          <w:highlight w:val="none"/>
        </w:rPr>
        <w:t>具体评价指标体系详情见附件1</w:t>
      </w:r>
    </w:p>
    <w:p w14:paraId="2D7C1EC2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绩效评价方法</w:t>
      </w:r>
    </w:p>
    <w:p w14:paraId="4B973B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7FB722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12AE73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  <w:t xml:space="preserve">（一）成本效益分析法。是指将投入与产出、效益进行关联性分析的方法。 </w:t>
      </w:r>
    </w:p>
    <w:p w14:paraId="1DC5091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  <w:t>（</w:t>
      </w:r>
      <w:r>
        <w:rPr>
          <w:rFonts w:hint="eastAsia" w:eastAsia="仿宋_GB2312" w:cs="Times New Roman"/>
          <w:color w:val="auto"/>
          <w:spacing w:val="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  <w:t>）因素分析法。是指综合分析影响绩效目标实现、实施效果的内外部因素的方法。</w:t>
      </w:r>
    </w:p>
    <w:p w14:paraId="0CA0BFD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  <w:t>（</w:t>
      </w:r>
      <w:r>
        <w:rPr>
          <w:rFonts w:hint="eastAsia" w:eastAsia="仿宋_GB2312" w:cs="Times New Roman"/>
          <w:color w:val="auto"/>
          <w:spacing w:val="0"/>
          <w:kern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0"/>
          <w:sz w:val="32"/>
          <w:szCs w:val="32"/>
          <w:highlight w:val="none"/>
        </w:rPr>
        <w:t>）公众评判法。是指通过专家评估、公众问卷及抽样调查等方式进行评判的方法。</w:t>
      </w:r>
    </w:p>
    <w:p w14:paraId="4F257DA5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0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0"/>
          <w:highlight w:val="none"/>
        </w:rPr>
        <w:t>评价标准</w:t>
      </w:r>
    </w:p>
    <w:p w14:paraId="0BDAB947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标准。</w:t>
      </w:r>
    </w:p>
    <w:p w14:paraId="518683A8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highlight w:val="none"/>
        </w:rPr>
        <w:t>计划标准。指以预先制定的目标、计划、预算、定额等作为评价标准。</w:t>
      </w:r>
    </w:p>
    <w:p w14:paraId="53C540D7">
      <w:pPr>
        <w:pStyle w:val="11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color w:val="000000"/>
          <w:spacing w:val="0"/>
          <w:kern w:val="0"/>
          <w:highlight w:val="none"/>
        </w:rPr>
      </w:pPr>
      <w:r>
        <w:rPr>
          <w:rFonts w:hint="default" w:ascii="Times New Roman" w:hAnsi="Times New Roman" w:eastAsia="楷体" w:cs="Times New Roman"/>
          <w:color w:val="000000"/>
          <w:spacing w:val="0"/>
          <w:kern w:val="0"/>
          <w:highlight w:val="none"/>
        </w:rPr>
        <w:t>绩效评价工作过程</w:t>
      </w:r>
    </w:p>
    <w:p w14:paraId="113B0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</w:rPr>
        <w:t>前期准备与规划</w:t>
      </w:r>
    </w:p>
    <w:p w14:paraId="19495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0D632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）指标体系构建</w:t>
      </w:r>
    </w:p>
    <w:p w14:paraId="62F82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0"/>
          <w:kern w:val="0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11C19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）数据收集与整理</w:t>
      </w:r>
    </w:p>
    <w:p w14:paraId="1C922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00E86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）数据分析与评估</w:t>
      </w:r>
    </w:p>
    <w:p w14:paraId="5E605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BC1A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）报告撰写与反馈</w:t>
      </w:r>
    </w:p>
    <w:p w14:paraId="1F2E1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C4BF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）后续跟踪与改进</w:t>
      </w:r>
    </w:p>
    <w:p w14:paraId="731EB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1B4E61CF"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65A0F949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17DCB781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伊犁州特克斯县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呼吉尔特蒙古族乡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牧民越冬放牧点生产用房（居住）建设项目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在完成拆除及新建工作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在综合研判我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牧区地质结构和运费的基础上，实施面积为15-30平方米木结构房屋，轻钢房，共建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户，单户建房价格控制在3万元以内，同时达到抗震、保温、防水要求，牧民越冬放牧点生产用房(居住)建成后上级有关部门按照相关要求进行验收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改善牧民生活环境，提供牧民住房保障，提供居民生活水平等方面表现出色，达到了预期的标准与要求。同时，项目也在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实施中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取得了显著的成效，如完成拆除及新建工作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在综合研判我镇牧区地质结构和运费的基础上，实施面积为15-30平方米木结构房屋，轻钢房，共建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户，单户建房价格控制在3万元以内，同时达到抗震、保温、防水要求，牧民越冬放牧点生产用房(居住)建成后上级有关部门按照相关要求进行验收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改善牧民生活环境，提供牧民住房保障，提供居民生活水平等。</w:t>
      </w:r>
    </w:p>
    <w:p w14:paraId="528B5957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特克斯县呼吉尔特蒙古族乡人民政府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1EB7F0B1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从项目效益的角度来看，本项目不仅实现了预期的社会效益等方面产生了积极的影响。具体而言，城乡抗震安居工程建设房屋安全隐患排查整治成果等方面的提升，为项目的利益相关者带来了实实在在的利益。</w:t>
      </w:r>
    </w:p>
    <w:p w14:paraId="136600BE"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伊犁州特克斯县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呼吉尔特蒙古族乡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牧民越冬放牧点生产用房（居住）建设项目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55E157F8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评价结论</w:t>
      </w:r>
    </w:p>
    <w:p w14:paraId="4C3F5337">
      <w:pPr>
        <w:pStyle w:val="11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39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97.5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7978230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422" w:firstLineChars="200"/>
        <w:textAlignment w:val="auto"/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21"/>
          <w:szCs w:val="21"/>
          <w:highlight w:val="none"/>
        </w:rPr>
        <w:t>表1综合评分表</w:t>
      </w:r>
    </w:p>
    <w:tbl>
      <w:tblPr>
        <w:tblStyle w:val="14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554C3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F991E2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988763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51B468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得分</w:t>
            </w:r>
          </w:p>
        </w:tc>
      </w:tr>
      <w:tr w14:paraId="1FCF9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EAB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659F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F4FA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0738F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0F1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42BE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320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</w:tr>
      <w:tr w14:paraId="5BDEB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383B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BB90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B3B8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39</w:t>
            </w:r>
          </w:p>
        </w:tc>
      </w:tr>
      <w:tr w14:paraId="30BDB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873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510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49A7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170E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2C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2D7C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22B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2" w:firstLineChars="20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98</w:t>
            </w:r>
          </w:p>
        </w:tc>
      </w:tr>
    </w:tbl>
    <w:p w14:paraId="24EBEC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四、绩效评价指标分析</w:t>
      </w:r>
    </w:p>
    <w:p w14:paraId="50BC489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highlight w:val="none"/>
        </w:rPr>
      </w:pPr>
      <w:r>
        <w:rPr>
          <w:rFonts w:hint="default" w:ascii="Times New Roman" w:hAnsi="Times New Roman" w:eastAsia="楷体_GB2312" w:cs="Times New Roman"/>
          <w:highlight w:val="none"/>
        </w:rPr>
        <w:t>（一）项目决策情况</w:t>
      </w:r>
    </w:p>
    <w:p w14:paraId="27C73375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1D341C08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1.项目立项</w:t>
      </w:r>
    </w:p>
    <w:p w14:paraId="04BCB58D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（1）立项依据充分性</w:t>
      </w:r>
    </w:p>
    <w:p w14:paraId="5C05AD5E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D2694B5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（2）立项程序规范性</w:t>
      </w:r>
    </w:p>
    <w:p w14:paraId="01265528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62794A6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2.绩效目标</w:t>
      </w:r>
    </w:p>
    <w:p w14:paraId="46260D3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（1）绩效目标合理性</w:t>
      </w:r>
    </w:p>
    <w:p w14:paraId="584F9380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201336C0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（2）绩效指标明确性</w:t>
      </w:r>
    </w:p>
    <w:p w14:paraId="6C06A92C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1E013ADD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3.资金投入</w:t>
      </w:r>
    </w:p>
    <w:p w14:paraId="42A8E82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（1）预算编制科学性</w:t>
      </w:r>
    </w:p>
    <w:p w14:paraId="60E08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123C8069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13A9488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0A326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EE64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7A643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77C7DC9">
      <w:pPr>
        <w:pStyle w:val="11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031635B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E9D49B0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34979021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7B0142F2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2ABBB638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64B1F2C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119.84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0E86B62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1DD43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293E4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4F2B6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1375F936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33660EC7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2AC13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5246B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FDA6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748E8E21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1A99B7BA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305F9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F638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607C5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5CF0FD14">
      <w:pPr>
        <w:pStyle w:val="12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情况</w:t>
      </w:r>
    </w:p>
    <w:p w14:paraId="79C81687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683881CB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687E97D8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1" w:name="OLE_LINK4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指标1：新建放牧越冬户数，指标值：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=50户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50户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70D623A4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2C212CF9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指标1：安歇已完成执行率，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bookmarkEnd w:id="1"/>
    </w:p>
    <w:p w14:paraId="3B5ABFDC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bookmarkStart w:id="2" w:name="OLE_LINK6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</w:t>
      </w:r>
    </w:p>
    <w:p w14:paraId="6D42FD8B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财政资金下达及时率，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指标值：=100%，实际完成值：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bookmarkStart w:id="3" w:name="OLE_LINK5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bookmarkEnd w:id="3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bookmarkEnd w:id="2"/>
    </w:p>
    <w:p w14:paraId="5F0BFDCC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竣工验收合格率，指标值：=100%，实际完成值：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01B0DAC4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0D7F846B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4" w:name="OLE_LINK8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指标1：新建放牧越冬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建设项目成本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119.84万元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4"/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偏差原因：按合同要求验收后给80%，等结算完之后给剩下的15% 30.16万元。</w:t>
      </w:r>
    </w:p>
    <w:p w14:paraId="271B1A5E">
      <w:pPr>
        <w:pStyle w:val="12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项目效益情况</w:t>
      </w:r>
    </w:p>
    <w:p w14:paraId="4C40DB18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20096FF0">
      <w:pPr>
        <w:pageBreakBefore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16F737BD">
      <w:pPr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6C448B11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5" w:name="OLE_LINK9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建设项目对牧民居住环境社会影响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，指标值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：成效明显，实际完成值：成效明显，指标完成率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5"/>
    </w:p>
    <w:p w14:paraId="03FFEE24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08B52E6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指标1：服务对象满意度，指标值：&gt;=95%，实际完成值：95%，指标完成率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7116DA7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  <w:lang w:val="en-US"/>
        </w:rPr>
        <w:t>预算执行进度与绩效指标总体完成率偏差</w:t>
      </w:r>
    </w:p>
    <w:p w14:paraId="2B52286E">
      <w:pPr>
        <w:pStyle w:val="2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伊犁州特克斯县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呼吉尔特蒙古族乡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牧民越冬放牧点生产用房（居住）建设项目年初预算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150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万元，全年预算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150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万元，实际支出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119.84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98.13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1.87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原因原因是按合同要求验收后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付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%的资金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150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措施等结算完之后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付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剩下的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的资金</w:t>
      </w:r>
      <w:r>
        <w:rPr>
          <w:rFonts w:hint="eastAsia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30.16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万元。</w:t>
      </w:r>
    </w:p>
    <w:p w14:paraId="11F16EB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Style w:val="21"/>
          <w:rFonts w:hint="default" w:ascii="Times New Roman" w:hAnsi="Times New Roman" w:cs="Times New Roman"/>
          <w:color w:val="auto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主要经验及做法、存在的问题及原因分析</w:t>
      </w:r>
    </w:p>
    <w:p w14:paraId="1248D6F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rPr>
          <w:rFonts w:hint="eastAsia" w:ascii="楷体_GB2312" w:hAnsi="楷体_GB2312" w:eastAsia="楷体_GB2312" w:cs="楷体_GB2312"/>
          <w:b/>
          <w:spacing w:val="-4"/>
          <w:sz w:val="32"/>
          <w:szCs w:val="32"/>
          <w:highlight w:val="none"/>
        </w:rPr>
      </w:pPr>
      <w:bookmarkStart w:id="6" w:name="OLE_LINK11"/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  <w:highlight w:val="none"/>
        </w:rPr>
        <w:t>（一）主要经验及做法</w:t>
      </w:r>
    </w:p>
    <w:p w14:paraId="3A97BD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5189515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highlight w:val="none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highlight w:val="none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AA3E3BE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存在的问题及原因分析</w:t>
      </w:r>
    </w:p>
    <w:p w14:paraId="6BA47E39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06A300E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  <w:bookmarkEnd w:id="6"/>
    </w:p>
    <w:p w14:paraId="039F35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有关建议</w:t>
      </w:r>
    </w:p>
    <w:p w14:paraId="532D033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2F0F16F6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B30AE73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0597F286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  <w:highlight w:val="none"/>
        </w:rPr>
        <w:t>。</w:t>
      </w:r>
    </w:p>
    <w:p w14:paraId="709EED91">
      <w:pPr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3DE1926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</w:t>
      </w:r>
      <w:bookmarkStart w:id="7" w:name="page8"/>
      <w:bookmarkEnd w:id="7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明的问题</w:t>
      </w:r>
    </w:p>
    <w:p w14:paraId="01915873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本项目无其他需说明的问题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9C744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cs="Times New Roman"/>
          <w:highlight w:val="none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342E44-8A9B-4921-9E92-CD0621DD09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A3CA07AA-AC97-4913-A321-2B5D8B97CF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A0B52257-29E4-4A80-A181-6E9055B3AF3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C6EB10F-C402-48D7-91B9-B2167C9CED41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0A32EFEE-ABBC-431B-8AF9-35766EB3A80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F501BF3-B62B-4E84-BE5F-2DA031DEF975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CDD9AD50-A1FA-4A8E-BEC3-8C562C9CAAF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F0B5E5B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332071B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NDExMGZhMjQzNDhjZWRiNjAzMzczNTA4NTdjMjUifQ=="/>
  </w:docVars>
  <w:rsids>
    <w:rsidRoot w:val="00000000"/>
    <w:rsid w:val="03813579"/>
    <w:rsid w:val="2A217232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1"/>
    <w:next w:val="1"/>
    <w:qFormat/>
    <w:uiPriority w:val="0"/>
    <w:pPr>
      <w:keepNext/>
      <w:keepLines/>
      <w:jc w:val="both"/>
      <w:textAlignment w:val="baseline"/>
    </w:pPr>
    <w:rPr>
      <w:rFonts w:cs="Times New Roman"/>
      <w:kern w:val="2"/>
      <w:sz w:val="21"/>
      <w:szCs w:val="32"/>
      <w:lang w:val="en-US" w:eastAsia="zh-CN" w:bidi="ar-SA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Balloon Text"/>
    <w:basedOn w:val="1"/>
    <w:link w:val="23"/>
    <w:qFormat/>
    <w:uiPriority w:val="0"/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9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"/>
    <w:basedOn w:val="5"/>
    <w:qFormat/>
    <w:uiPriority w:val="0"/>
    <w:pPr>
      <w:spacing w:after="0"/>
      <w:ind w:firstLine="200" w:firstLineChars="200"/>
    </w:pPr>
  </w:style>
  <w:style w:type="paragraph" w:styleId="13">
    <w:name w:val="Body Text First Indent 2"/>
    <w:basedOn w:val="6"/>
    <w:qFormat/>
    <w:uiPriority w:val="0"/>
    <w:pPr>
      <w:ind w:firstLine="420" w:firstLineChars="200"/>
    </w:pPr>
  </w:style>
  <w:style w:type="table" w:styleId="15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paragraph" w:customStyle="1" w:styleId="18">
    <w:name w:val="Comment Text"/>
    <w:basedOn w:val="1"/>
    <w:link w:val="25"/>
    <w:qFormat/>
    <w:uiPriority w:val="0"/>
    <w:pPr>
      <w:jc w:val="left"/>
    </w:pPr>
  </w:style>
  <w:style w:type="paragraph" w:customStyle="1" w:styleId="19">
    <w:name w:val="Comment Subject"/>
    <w:basedOn w:val="18"/>
    <w:next w:val="18"/>
    <w:link w:val="26"/>
    <w:qFormat/>
    <w:uiPriority w:val="0"/>
    <w:rPr>
      <w:b/>
      <w:bCs/>
    </w:rPr>
  </w:style>
  <w:style w:type="character" w:customStyle="1" w:styleId="20">
    <w:name w:val="Comment Reference"/>
    <w:basedOn w:val="16"/>
    <w:qFormat/>
    <w:uiPriority w:val="0"/>
    <w:rPr>
      <w:sz w:val="21"/>
      <w:szCs w:val="21"/>
    </w:rPr>
  </w:style>
  <w:style w:type="character" w:customStyle="1" w:styleId="21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2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3">
    <w:name w:val="批注框文本 字符"/>
    <w:basedOn w:val="16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页眉 字符"/>
    <w:basedOn w:val="16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5">
    <w:name w:val="批注文字 字符"/>
    <w:basedOn w:val="16"/>
    <w:link w:val="1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6">
    <w:name w:val="批注主题 字符"/>
    <w:basedOn w:val="25"/>
    <w:link w:val="19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7e2ed79c-2edf-44d5-88ab-50691b1dde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9752</Words>
  <Characters>10055</Characters>
  <Lines>58</Lines>
  <Paragraphs>16</Paragraphs>
  <TotalTime>0</TotalTime>
  <ScaleCrop>false</ScaleCrop>
  <LinksUpToDate>false</LinksUpToDate>
  <CharactersWithSpaces>10063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2025-11-13T05:27:36Z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eyJoZGlkIjoiNTM1NjJiMTUwNmFhZWNlZmQwNDVjMDAxNDMwM2IwMDkiLCJ1c2VySWQiOiIzNzI2MDMzNTYifQ==</vt:lpwstr>
  </property>
</Properties>
</file>