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A9F2CE2">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特克斯县喀拉托海镇寄宿制初级中学</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8C13E70">
      <w:r>
        <w:br w:type="page"/>
      </w:r>
    </w:p>
    <w:p w14:paraId="0387F18B">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2E9FC736">
      <w:pPr>
        <w:spacing w:line="640" w:lineRule="exact"/>
        <w:ind w:firstLine="640"/>
        <w:jc w:val="both"/>
        <w:outlineLvl w:val="2"/>
      </w:pPr>
      <w:r>
        <w:rPr>
          <w:rFonts w:ascii="黑体" w:hAnsi="黑体" w:eastAsia="黑体"/>
          <w:sz w:val="32"/>
        </w:rPr>
        <w:t>一、主要职能</w:t>
      </w:r>
    </w:p>
    <w:p w14:paraId="28B36BF8">
      <w:pPr>
        <w:spacing w:line="580" w:lineRule="exact"/>
        <w:ind w:firstLine="640"/>
        <w:jc w:val="both"/>
      </w:pPr>
      <w:r>
        <w:rPr>
          <w:rFonts w:ascii="仿宋_GB2312" w:hAnsi="仿宋_GB2312" w:eastAsia="仿宋_GB2312"/>
          <w:sz w:val="32"/>
        </w:rPr>
        <w:t>1.宣传贯彻党的路线、方针、政策，坚持正确的办学方向。</w:t>
      </w:r>
    </w:p>
    <w:p w14:paraId="4E6E3017">
      <w:pPr>
        <w:spacing w:line="580" w:lineRule="exact"/>
        <w:ind w:firstLine="640"/>
        <w:jc w:val="both"/>
      </w:pPr>
      <w:r>
        <w:rPr>
          <w:rFonts w:ascii="仿宋_GB2312" w:hAnsi="仿宋_GB2312" w:eastAsia="仿宋_GB2312"/>
          <w:sz w:val="32"/>
        </w:rPr>
        <w:t>2.负责党的理论教育研讨工作，指导干部学习党的理论，培养合格的党员干部。</w:t>
      </w:r>
    </w:p>
    <w:p w14:paraId="50FFA3A0">
      <w:pPr>
        <w:spacing w:line="580" w:lineRule="exact"/>
        <w:ind w:firstLine="640"/>
        <w:jc w:val="both"/>
      </w:pPr>
      <w:r>
        <w:rPr>
          <w:rFonts w:ascii="仿宋_GB2312" w:hAnsi="仿宋_GB2312" w:eastAsia="仿宋_GB2312"/>
          <w:sz w:val="32"/>
        </w:rPr>
        <w:t>3.编制学校教学计划，管理，协调教育活动，开展教学情况。</w:t>
      </w:r>
    </w:p>
    <w:p w14:paraId="44702CD9">
      <w:pPr>
        <w:spacing w:line="580" w:lineRule="exact"/>
        <w:ind w:firstLine="640"/>
        <w:jc w:val="both"/>
      </w:pPr>
      <w:r>
        <w:rPr>
          <w:rFonts w:ascii="仿宋_GB2312" w:hAnsi="仿宋_GB2312" w:eastAsia="仿宋_GB2312"/>
          <w:sz w:val="32"/>
        </w:rPr>
        <w:t>4.完成全校交办的其他工作。</w:t>
      </w:r>
    </w:p>
    <w:p w14:paraId="18F78668">
      <w:pPr>
        <w:spacing w:line="640" w:lineRule="exact"/>
        <w:ind w:firstLine="640"/>
        <w:jc w:val="both"/>
        <w:outlineLvl w:val="2"/>
      </w:pPr>
      <w:r>
        <w:rPr>
          <w:rFonts w:ascii="黑体" w:hAnsi="黑体" w:eastAsia="黑体"/>
          <w:sz w:val="32"/>
        </w:rPr>
        <w:t>二、机构设置及人员情况</w:t>
      </w:r>
    </w:p>
    <w:p w14:paraId="3F4F80C7">
      <w:pPr>
        <w:spacing w:line="580" w:lineRule="exact"/>
        <w:ind w:firstLine="640"/>
        <w:jc w:val="both"/>
      </w:pPr>
      <w:r>
        <w:rPr>
          <w:rFonts w:ascii="仿宋_GB2312" w:hAnsi="仿宋_GB2312" w:eastAsia="仿宋_GB2312"/>
          <w:sz w:val="32"/>
        </w:rPr>
        <w:t>特克斯县喀拉托海镇寄宿制初级中学2024年度，实有人数317人，其中：在职人员221人，减少25人；离休人员0人，增加0人；退休人员96人,增加3人。</w:t>
      </w:r>
    </w:p>
    <w:p w14:paraId="2EFE2F82">
      <w:pPr>
        <w:spacing w:line="580" w:lineRule="exact"/>
        <w:ind w:firstLine="640"/>
        <w:jc w:val="both"/>
      </w:pPr>
      <w:r>
        <w:rPr>
          <w:rFonts w:ascii="仿宋_GB2312" w:hAnsi="仿宋_GB2312" w:eastAsia="仿宋_GB2312"/>
          <w:sz w:val="32"/>
        </w:rPr>
        <w:t>特克斯县喀拉托海镇寄宿制初级中学无下属预算</w:t>
      </w:r>
      <w:r>
        <w:rPr>
          <w:rFonts w:hint="eastAsia" w:ascii="仿宋_GB2312" w:hAnsi="仿宋_GB2312" w:eastAsia="仿宋_GB2312"/>
          <w:sz w:val="32"/>
          <w:lang w:eastAsia="zh-CN"/>
        </w:rPr>
        <w:t>单位</w:t>
      </w:r>
      <w:r>
        <w:rPr>
          <w:rFonts w:ascii="仿宋_GB2312" w:hAnsi="仿宋_GB2312" w:eastAsia="仿宋_GB2312"/>
          <w:sz w:val="32"/>
        </w:rPr>
        <w:t>，下设4个科室，分别是：党建办、德育处、总务处、教务处。</w:t>
      </w:r>
    </w:p>
    <w:p w14:paraId="48F310A5">
      <w:r>
        <w:br w:type="page"/>
      </w:r>
    </w:p>
    <w:p w14:paraId="08ECA2B7">
      <w:pPr>
        <w:spacing w:line="240" w:lineRule="auto"/>
        <w:jc w:val="center"/>
        <w:outlineLvl w:val="1"/>
      </w:pPr>
      <w:r>
        <w:rPr>
          <w:rFonts w:ascii="黑体" w:hAnsi="黑体" w:eastAsia="黑体"/>
          <w:sz w:val="32"/>
        </w:rPr>
        <w:t>第二部分 部门决算情况说明</w:t>
      </w:r>
    </w:p>
    <w:p w14:paraId="360C3FCE">
      <w:pPr>
        <w:spacing w:line="640" w:lineRule="exact"/>
        <w:ind w:firstLine="640"/>
        <w:jc w:val="both"/>
        <w:outlineLvl w:val="2"/>
      </w:pPr>
      <w:r>
        <w:rPr>
          <w:rFonts w:ascii="黑体" w:hAnsi="黑体" w:eastAsia="黑体"/>
          <w:sz w:val="32"/>
        </w:rPr>
        <w:t>一、收入支出决算总体情况说明</w:t>
      </w:r>
    </w:p>
    <w:p w14:paraId="45088855">
      <w:pPr>
        <w:spacing w:line="580" w:lineRule="exact"/>
        <w:ind w:firstLine="640"/>
        <w:jc w:val="both"/>
      </w:pPr>
      <w:r>
        <w:rPr>
          <w:rFonts w:ascii="仿宋_GB2312" w:hAnsi="仿宋_GB2312" w:eastAsia="仿宋_GB2312"/>
          <w:b/>
          <w:sz w:val="32"/>
        </w:rPr>
        <w:t>2024年度收入总计4,064.55万元，</w:t>
      </w:r>
      <w:r>
        <w:rPr>
          <w:rFonts w:ascii="仿宋_GB2312" w:hAnsi="仿宋_GB2312" w:eastAsia="仿宋_GB2312"/>
          <w:b w:val="0"/>
          <w:sz w:val="32"/>
        </w:rPr>
        <w:t>其中：本年收入合计4,064.55万元，使用非财政拨款结余（含专用结余）0.00万元，年初结转和结余0.00万元。</w:t>
      </w:r>
    </w:p>
    <w:p w14:paraId="00DAFDFA">
      <w:pPr>
        <w:spacing w:line="580" w:lineRule="exact"/>
        <w:ind w:firstLine="640"/>
        <w:jc w:val="both"/>
      </w:pPr>
      <w:r>
        <w:rPr>
          <w:rFonts w:ascii="仿宋_GB2312" w:hAnsi="仿宋_GB2312" w:eastAsia="仿宋_GB2312"/>
          <w:b/>
          <w:sz w:val="32"/>
        </w:rPr>
        <w:t>2024年度支出总计4,064.55万元，</w:t>
      </w:r>
      <w:r>
        <w:rPr>
          <w:rFonts w:ascii="仿宋_GB2312" w:hAnsi="仿宋_GB2312" w:eastAsia="仿宋_GB2312"/>
          <w:b w:val="0"/>
          <w:sz w:val="32"/>
        </w:rPr>
        <w:t>其中：本年支出合计</w:t>
      </w:r>
      <w:r>
        <w:rPr>
          <w:rFonts w:ascii="仿宋_GB2312" w:hAnsi="仿宋_GB2312" w:eastAsia="仿宋_GB2312"/>
          <w:b w:val="0"/>
          <w:w w:val="97"/>
          <w:sz w:val="32"/>
        </w:rPr>
        <w:t>4,064.55万元，结余分配0.00万元，年末结转和结余0.00万元。</w:t>
      </w:r>
    </w:p>
    <w:p w14:paraId="286E86CC">
      <w:pPr>
        <w:spacing w:line="580" w:lineRule="exact"/>
        <w:ind w:firstLine="640"/>
        <w:jc w:val="both"/>
      </w:pPr>
      <w:r>
        <w:rPr>
          <w:rFonts w:ascii="仿宋_GB2312" w:hAnsi="仿宋_GB2312" w:eastAsia="仿宋_GB2312"/>
          <w:b w:val="0"/>
          <w:sz w:val="32"/>
        </w:rPr>
        <w:t>收入支出总体与上年相比，减少172.29万元，下降4.07%，主要原因是：本年在职人员减少，相关人员经费较上年减少；减少托管费用。</w:t>
      </w:r>
    </w:p>
    <w:p w14:paraId="303323E8">
      <w:pPr>
        <w:spacing w:line="640" w:lineRule="exact"/>
        <w:ind w:firstLine="640"/>
        <w:jc w:val="both"/>
        <w:outlineLvl w:val="2"/>
      </w:pPr>
      <w:r>
        <w:rPr>
          <w:rFonts w:ascii="黑体" w:hAnsi="黑体" w:eastAsia="黑体"/>
          <w:sz w:val="32"/>
        </w:rPr>
        <w:t>二、收入决算情况说明</w:t>
      </w:r>
    </w:p>
    <w:p w14:paraId="3B27484A">
      <w:pPr>
        <w:spacing w:line="580" w:lineRule="exact"/>
        <w:ind w:firstLine="640"/>
        <w:jc w:val="both"/>
      </w:pPr>
      <w:r>
        <w:rPr>
          <w:rFonts w:ascii="仿宋_GB2312" w:hAnsi="仿宋_GB2312" w:eastAsia="仿宋_GB2312"/>
          <w:b/>
          <w:sz w:val="32"/>
        </w:rPr>
        <w:t>本年收入4,064.55万元，</w:t>
      </w:r>
      <w:r>
        <w:rPr>
          <w:rFonts w:ascii="仿宋_GB2312" w:hAnsi="仿宋_GB2312" w:eastAsia="仿宋_GB2312"/>
          <w:b w:val="0"/>
          <w:sz w:val="32"/>
        </w:rPr>
        <w:t>其中：财政拨款收入4,035.86万元，占99.29%；上级补助收入0.00万元，占0.00%；事业收入0.00万元，占0.00%；经营收入0.00万元，占0.00%；附属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上缴收入0.00万元，占0.00%；其他收入28.69万元，占0.71%。</w:t>
      </w:r>
    </w:p>
    <w:p w14:paraId="3E0E100B">
      <w:pPr>
        <w:spacing w:line="640" w:lineRule="exact"/>
        <w:ind w:firstLine="640"/>
        <w:jc w:val="both"/>
        <w:outlineLvl w:val="2"/>
      </w:pPr>
      <w:r>
        <w:rPr>
          <w:rFonts w:ascii="黑体" w:hAnsi="黑体" w:eastAsia="黑体"/>
          <w:sz w:val="32"/>
        </w:rPr>
        <w:t>三、支出决算情况说明</w:t>
      </w:r>
    </w:p>
    <w:p w14:paraId="716F9539">
      <w:pPr>
        <w:spacing w:line="580" w:lineRule="exact"/>
        <w:ind w:firstLine="640"/>
        <w:jc w:val="both"/>
      </w:pPr>
      <w:r>
        <w:rPr>
          <w:rFonts w:ascii="仿宋_GB2312" w:hAnsi="仿宋_GB2312" w:eastAsia="仿宋_GB2312"/>
          <w:b/>
          <w:sz w:val="32"/>
        </w:rPr>
        <w:t>本年支出4,064.55万元，</w:t>
      </w:r>
      <w:r>
        <w:rPr>
          <w:rFonts w:ascii="仿宋_GB2312" w:hAnsi="仿宋_GB2312" w:eastAsia="仿宋_GB2312"/>
          <w:b w:val="0"/>
          <w:sz w:val="32"/>
        </w:rPr>
        <w:t>其中：基本支出4,064.55万元，占100.00%；项目支出0.00万元，占0.00%；上缴上级支出0.00万元，占0.00%；经营支出0.00万元，占0.00%；对附属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4DA9411F">
      <w:pPr>
        <w:spacing w:line="640" w:lineRule="exact"/>
        <w:ind w:firstLine="640"/>
        <w:jc w:val="both"/>
        <w:outlineLvl w:val="2"/>
      </w:pPr>
      <w:r>
        <w:rPr>
          <w:rFonts w:ascii="黑体" w:hAnsi="黑体" w:eastAsia="黑体"/>
          <w:sz w:val="32"/>
        </w:rPr>
        <w:t>四、财政拨款收入支出决算总体情况说明</w:t>
      </w:r>
    </w:p>
    <w:p w14:paraId="47A225BF">
      <w:pPr>
        <w:spacing w:line="580" w:lineRule="exact"/>
        <w:ind w:firstLine="640"/>
        <w:jc w:val="both"/>
      </w:pPr>
      <w:r>
        <w:rPr>
          <w:rFonts w:ascii="仿宋_GB2312" w:hAnsi="仿宋_GB2312" w:eastAsia="仿宋_GB2312"/>
          <w:b/>
          <w:sz w:val="32"/>
        </w:rPr>
        <w:t>2024年度财政拨款收入总计4,035.86万元，</w:t>
      </w:r>
      <w:r>
        <w:rPr>
          <w:rFonts w:ascii="仿宋_GB2312" w:hAnsi="仿宋_GB2312" w:eastAsia="仿宋_GB2312"/>
          <w:b w:val="0"/>
          <w:sz w:val="32"/>
        </w:rPr>
        <w:t>其中：年初财政拨款结转和结余0.00万元，本年财政拨款收入4,035.86万元。</w:t>
      </w:r>
      <w:r>
        <w:rPr>
          <w:rFonts w:ascii="仿宋_GB2312" w:hAnsi="仿宋_GB2312" w:eastAsia="仿宋_GB2312"/>
          <w:b/>
          <w:sz w:val="32"/>
        </w:rPr>
        <w:t>财政拨款支出总计4,035.86万元，</w:t>
      </w:r>
      <w:r>
        <w:rPr>
          <w:rFonts w:ascii="仿宋_GB2312" w:hAnsi="仿宋_GB2312" w:eastAsia="仿宋_GB2312"/>
          <w:b w:val="0"/>
          <w:sz w:val="32"/>
        </w:rPr>
        <w:t>其中：年末财政拨款结转和结余0.00万元，本年财政拨款支出4,035.86万元。</w:t>
      </w:r>
    </w:p>
    <w:p w14:paraId="7D3F0E23">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减少141.92万元，下降3.40%，主要原因是：本年在职人员减少，相关人员经费较上年减少。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年初预算数4,074.97万元，决算数4,035.86万元，预决算差异率-0.96%，主要原因是：本年在职人员减少，年中调减人员经费，导致预决算存在差异。</w:t>
      </w:r>
    </w:p>
    <w:p w14:paraId="1FC13CAE">
      <w:pPr>
        <w:spacing w:line="640" w:lineRule="exact"/>
        <w:ind w:firstLine="640"/>
        <w:jc w:val="both"/>
        <w:outlineLvl w:val="2"/>
      </w:pPr>
      <w:r>
        <w:rPr>
          <w:rFonts w:ascii="黑体" w:hAnsi="黑体" w:eastAsia="黑体"/>
          <w:sz w:val="32"/>
        </w:rPr>
        <w:t>五、一般公共预算财政拨款支出决算情况说明</w:t>
      </w:r>
    </w:p>
    <w:p w14:paraId="1C2F74A5">
      <w:pPr>
        <w:spacing w:line="640" w:lineRule="exact"/>
        <w:ind w:firstLine="640"/>
        <w:jc w:val="both"/>
        <w:outlineLvl w:val="3"/>
      </w:pPr>
      <w:r>
        <w:rPr>
          <w:rFonts w:ascii="楷体_GB2312" w:hAnsi="楷体_GB2312" w:eastAsia="楷体_GB2312"/>
          <w:b/>
          <w:sz w:val="32"/>
        </w:rPr>
        <w:t>（一）一般公共预算财政拨款支出决算总体情况</w:t>
      </w:r>
    </w:p>
    <w:p w14:paraId="362ED8E7">
      <w:pPr>
        <w:spacing w:line="580" w:lineRule="exact"/>
        <w:ind w:firstLine="640"/>
        <w:jc w:val="both"/>
      </w:pPr>
      <w:r>
        <w:rPr>
          <w:rFonts w:ascii="仿宋_GB2312" w:hAnsi="仿宋_GB2312" w:eastAsia="仿宋_GB2312"/>
          <w:b/>
          <w:sz w:val="32"/>
        </w:rPr>
        <w:t>2024年度一般公共预算财政拨款支出4,035.86万元，</w:t>
      </w:r>
      <w:r>
        <w:rPr>
          <w:rFonts w:ascii="仿宋_GB2312" w:hAnsi="仿宋_GB2312" w:eastAsia="仿宋_GB2312"/>
          <w:b w:val="0"/>
          <w:sz w:val="32"/>
        </w:rPr>
        <w:t>占本年支出合计的99.29%。</w:t>
      </w:r>
      <w:r>
        <w:rPr>
          <w:rFonts w:ascii="仿宋_GB2312" w:hAnsi="仿宋_GB2312" w:eastAsia="仿宋_GB2312"/>
          <w:b/>
          <w:sz w:val="32"/>
        </w:rPr>
        <w:t>与上年相比，</w:t>
      </w:r>
      <w:r>
        <w:rPr>
          <w:rFonts w:ascii="仿宋_GB2312" w:hAnsi="仿宋_GB2312" w:eastAsia="仿宋_GB2312"/>
          <w:b w:val="0"/>
          <w:sz w:val="32"/>
        </w:rPr>
        <w:t>减少141.92万元，下降3.40%，主要原因是：本年在职人员减少，相关人员经费较上年减少。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年初预算数4,074.97万元，决算数4,035.86万元，预决算差异率-0.96%，主要原因是：本年在职人员减少，年中调减人员经费，导致预决算存在差异。</w:t>
      </w:r>
    </w:p>
    <w:p w14:paraId="5445F6FE">
      <w:pPr>
        <w:spacing w:line="640" w:lineRule="exact"/>
        <w:ind w:firstLine="640"/>
        <w:jc w:val="both"/>
        <w:outlineLvl w:val="3"/>
      </w:pPr>
      <w:r>
        <w:rPr>
          <w:rFonts w:ascii="楷体_GB2312" w:hAnsi="楷体_GB2312" w:eastAsia="楷体_GB2312"/>
          <w:b/>
          <w:sz w:val="32"/>
        </w:rPr>
        <w:t>（二）一般公共预算财政拨款支出决算结构情况</w:t>
      </w:r>
    </w:p>
    <w:p w14:paraId="17236666">
      <w:pPr>
        <w:spacing w:line="580" w:lineRule="exact"/>
        <w:ind w:firstLine="640"/>
        <w:jc w:val="both"/>
      </w:pPr>
      <w:r>
        <w:rPr>
          <w:rFonts w:ascii="仿宋_GB2312" w:hAnsi="仿宋_GB2312" w:eastAsia="仿宋_GB2312"/>
          <w:b w:val="0"/>
          <w:sz w:val="32"/>
        </w:rPr>
        <w:t>1.教育支出(类)3,325.73万元,占82.40%。</w:t>
      </w:r>
    </w:p>
    <w:p w14:paraId="0E061223">
      <w:pPr>
        <w:spacing w:line="580" w:lineRule="exact"/>
        <w:ind w:firstLine="640"/>
        <w:jc w:val="both"/>
      </w:pPr>
      <w:r>
        <w:rPr>
          <w:rFonts w:ascii="仿宋_GB2312" w:hAnsi="仿宋_GB2312" w:eastAsia="仿宋_GB2312"/>
          <w:b w:val="0"/>
          <w:sz w:val="32"/>
        </w:rPr>
        <w:t>2.社会保障和就业支出(类)381.43万元,占9.45%。</w:t>
      </w:r>
    </w:p>
    <w:p w14:paraId="15653D7B">
      <w:pPr>
        <w:spacing w:line="580" w:lineRule="exact"/>
        <w:ind w:firstLine="640"/>
        <w:jc w:val="both"/>
      </w:pPr>
      <w:r>
        <w:rPr>
          <w:rFonts w:ascii="仿宋_GB2312" w:hAnsi="仿宋_GB2312" w:eastAsia="仿宋_GB2312"/>
          <w:b w:val="0"/>
          <w:sz w:val="32"/>
        </w:rPr>
        <w:t>3.卫生健康支出(类)37.46万元,占0.93%。</w:t>
      </w:r>
    </w:p>
    <w:p w14:paraId="1632BC39">
      <w:pPr>
        <w:spacing w:line="580" w:lineRule="exact"/>
        <w:ind w:firstLine="640"/>
        <w:jc w:val="both"/>
      </w:pPr>
      <w:r>
        <w:rPr>
          <w:rFonts w:ascii="仿宋_GB2312" w:hAnsi="仿宋_GB2312" w:eastAsia="仿宋_GB2312"/>
          <w:b w:val="0"/>
          <w:sz w:val="32"/>
        </w:rPr>
        <w:t>4.住房保障支出(类)291.25万元,占7.22%。</w:t>
      </w:r>
    </w:p>
    <w:p w14:paraId="6D5E2559">
      <w:pPr>
        <w:spacing w:line="640" w:lineRule="exact"/>
        <w:ind w:firstLine="640"/>
        <w:jc w:val="both"/>
        <w:outlineLvl w:val="3"/>
      </w:pPr>
      <w:r>
        <w:rPr>
          <w:rFonts w:ascii="楷体_GB2312" w:hAnsi="楷体_GB2312" w:eastAsia="楷体_GB2312"/>
          <w:b/>
          <w:sz w:val="32"/>
        </w:rPr>
        <w:t>（三）一般公共预算财政拨款支出决算具体情况</w:t>
      </w:r>
    </w:p>
    <w:p w14:paraId="711698A9">
      <w:pPr>
        <w:spacing w:line="580" w:lineRule="exact"/>
        <w:ind w:firstLine="640"/>
        <w:jc w:val="both"/>
      </w:pPr>
      <w:r>
        <w:rPr>
          <w:rFonts w:ascii="仿宋_GB2312" w:hAnsi="仿宋_GB2312" w:eastAsia="仿宋_GB2312"/>
          <w:b w:val="0"/>
          <w:sz w:val="32"/>
        </w:rPr>
        <w:t>1.教育支出(类)普通教育(款)学前教育(项):支出决算数为753.23万元，比上年决算增加165.75万元，增长28.21%,主要原因是：本年功能科目调整，部分在职教师奖金上年在小学教育列支，本年调整至学前教育列支，相应经费增加。</w:t>
      </w:r>
    </w:p>
    <w:p w14:paraId="0C9C1F1B">
      <w:pPr>
        <w:spacing w:line="580" w:lineRule="exact"/>
        <w:ind w:firstLine="640"/>
        <w:jc w:val="both"/>
      </w:pPr>
      <w:r>
        <w:rPr>
          <w:rFonts w:ascii="仿宋_GB2312" w:hAnsi="仿宋_GB2312" w:eastAsia="仿宋_GB2312"/>
          <w:b w:val="0"/>
          <w:sz w:val="32"/>
        </w:rPr>
        <w:t>2.教育支出(类)普通教育(款)小学教育(项):支出决算数为1,473.19万元，比上年决算减少365.75万元，下降19.89%,主要原因是：本年在职人员减少，相关人员经费较上年减少；功能科目调整，部分在职教师奖金上年在小学教育列支，本年调整至学前教育列支；部分医疗缴费</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住房公积金</w:t>
      </w:r>
      <w:r>
        <w:rPr>
          <w:rFonts w:ascii="仿宋_GB2312" w:hAnsi="仿宋_GB2312" w:eastAsia="仿宋_GB2312"/>
          <w:b w:val="0"/>
          <w:sz w:val="32"/>
        </w:rPr>
        <w:t>上年在此科目列支，本年单独列支，相应经费减少。</w:t>
      </w:r>
    </w:p>
    <w:p w14:paraId="02B0F5F3">
      <w:pPr>
        <w:spacing w:line="580" w:lineRule="exact"/>
        <w:ind w:firstLine="640"/>
        <w:jc w:val="both"/>
      </w:pPr>
      <w:r>
        <w:rPr>
          <w:rFonts w:ascii="仿宋_GB2312" w:hAnsi="仿宋_GB2312" w:eastAsia="仿宋_GB2312"/>
          <w:b w:val="0"/>
          <w:sz w:val="32"/>
        </w:rPr>
        <w:t>3.教育支出(类)普通教育(款)初中教育(项):支出决算数为1,099.31万元，比上年决算减少96.90万元，下降8.10%,主要原因是：本年在职人员减少，相关人员经费较上年减少；减少伙食补助经费；功能科目调整，部分医疗缴费</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住房公积金</w:t>
      </w:r>
      <w:r>
        <w:rPr>
          <w:rFonts w:ascii="仿宋_GB2312" w:hAnsi="仿宋_GB2312" w:eastAsia="仿宋_GB2312"/>
          <w:b w:val="0"/>
          <w:sz w:val="32"/>
        </w:rPr>
        <w:t>上年在此科目列支，本年单独列支，相应经费减少。</w:t>
      </w:r>
    </w:p>
    <w:p w14:paraId="2F4671E4">
      <w:pPr>
        <w:spacing w:line="580" w:lineRule="exact"/>
        <w:ind w:firstLine="640"/>
        <w:jc w:val="both"/>
      </w:pPr>
      <w:r>
        <w:rPr>
          <w:rFonts w:ascii="仿宋_GB2312" w:hAnsi="仿宋_GB2312" w:eastAsia="仿宋_GB2312"/>
          <w:b w:val="0"/>
          <w:sz w:val="32"/>
        </w:rPr>
        <w:t>4.社会保障和就业支出(类)行政事业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基本养老保险缴费支出(项):支出决算数为249.08万元，比上年决算减少46.92万元，下降15.85%,主要原因是：本年在职人员减少，机关事业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基本养老保险缴费支出减少。</w:t>
      </w:r>
    </w:p>
    <w:p w14:paraId="19C647D0">
      <w:pPr>
        <w:spacing w:line="580" w:lineRule="exact"/>
        <w:ind w:firstLine="640"/>
        <w:jc w:val="both"/>
      </w:pPr>
      <w:r>
        <w:rPr>
          <w:rFonts w:ascii="仿宋_GB2312" w:hAnsi="仿宋_GB2312" w:eastAsia="仿宋_GB2312"/>
          <w:b w:val="0"/>
          <w:sz w:val="32"/>
        </w:rPr>
        <w:t>5.社会保障和就业支出(类)行政事业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职业年金缴费支出(项):支出决算数为71.44万元，比上年决算增加51.87万元，增长265.05%,主要原因是：本年新增退休人员、辞职、调出人员，职业年金缴费支出增加。</w:t>
      </w:r>
    </w:p>
    <w:p w14:paraId="6357F9BD">
      <w:pPr>
        <w:spacing w:line="580" w:lineRule="exact"/>
        <w:ind w:firstLine="640"/>
        <w:jc w:val="both"/>
      </w:pPr>
      <w:r>
        <w:rPr>
          <w:rFonts w:ascii="仿宋_GB2312" w:hAnsi="仿宋_GB2312" w:eastAsia="仿宋_GB2312"/>
          <w:b w:val="0"/>
          <w:sz w:val="32"/>
        </w:rPr>
        <w:t>6.社会保障和就业支出(类)抚恤(款)死亡抚恤(项):支出决算数为60.91万元，比上年决算增加53.78万元，增长754.28%,主要原因是：本年新增死亡人员，死亡抚恤支出增加。</w:t>
      </w:r>
    </w:p>
    <w:p w14:paraId="0A6D37B5">
      <w:pPr>
        <w:spacing w:line="580" w:lineRule="exact"/>
        <w:ind w:firstLine="640"/>
        <w:jc w:val="both"/>
      </w:pPr>
      <w:r>
        <w:rPr>
          <w:rFonts w:ascii="仿宋_GB2312" w:hAnsi="仿宋_GB2312" w:eastAsia="仿宋_GB2312"/>
          <w:b w:val="0"/>
          <w:sz w:val="32"/>
        </w:rPr>
        <w:t>7.卫生健康支出(类)行政事业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医疗(款)事业</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医疗(项):支出决算数为36.79万元，比上年决算增加36.79万元，增长100.00%,主要原因是：本年功能科目调整，事业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医疗支出上年度在小学教育和初中教育列支，本年单独列支，导致经费较上年增加。</w:t>
      </w:r>
    </w:p>
    <w:p w14:paraId="18D3A45E">
      <w:pPr>
        <w:spacing w:line="580" w:lineRule="exact"/>
        <w:ind w:firstLine="640"/>
        <w:jc w:val="both"/>
      </w:pPr>
      <w:r>
        <w:rPr>
          <w:rFonts w:ascii="仿宋_GB2312" w:hAnsi="仿宋_GB2312" w:eastAsia="仿宋_GB2312"/>
          <w:b w:val="0"/>
          <w:sz w:val="32"/>
        </w:rPr>
        <w:t>8.卫生健康支出(类)行政事业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医疗支出(项):支出决算数为0.66万元，比上年决算增加0.66万元，增长100.00%,主要原因是：本年功能科目调整，失业保险上年度在小学教育和初中教育列支，本年单独列支，导致经费较上年增加。</w:t>
      </w:r>
    </w:p>
    <w:p w14:paraId="2E0BDDFC">
      <w:pPr>
        <w:spacing w:line="580" w:lineRule="exact"/>
        <w:ind w:firstLine="640"/>
        <w:jc w:val="both"/>
      </w:pPr>
      <w:r>
        <w:rPr>
          <w:rFonts w:ascii="仿宋_GB2312" w:hAnsi="仿宋_GB2312" w:eastAsia="仿宋_GB2312"/>
          <w:b w:val="0"/>
          <w:sz w:val="32"/>
        </w:rPr>
        <w:t>9.住房保障支出(类)住房改革支出(款)住房公积金(项):支出决算数为291.25万元，比上年决算增加58.80万元，增长25.30%,主要原因是：本年在职人员工资基数调增，公积金缴费基数上涨，相应支出增加</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本年功能科目调整，部分职工住房公积金上年在小学教育、初中教育科目列支，本年调整至住房公积金科目，导致经费较上年增加</w:t>
      </w:r>
      <w:r>
        <w:rPr>
          <w:rFonts w:ascii="仿宋_GB2312" w:hAnsi="仿宋_GB2312" w:eastAsia="仿宋_GB2312"/>
          <w:b w:val="0"/>
          <w:sz w:val="32"/>
        </w:rPr>
        <w:t>。</w:t>
      </w:r>
    </w:p>
    <w:p w14:paraId="715DE511">
      <w:pPr>
        <w:spacing w:line="640" w:lineRule="exact"/>
        <w:ind w:firstLine="640"/>
        <w:jc w:val="both"/>
        <w:outlineLvl w:val="2"/>
      </w:pPr>
      <w:r>
        <w:rPr>
          <w:rFonts w:ascii="黑体" w:hAnsi="黑体" w:eastAsia="黑体"/>
          <w:sz w:val="32"/>
        </w:rPr>
        <w:t>六、一般公共预算财政拨款基本支出决算情况说明</w:t>
      </w:r>
    </w:p>
    <w:p w14:paraId="729C69D8">
      <w:pPr>
        <w:spacing w:line="580" w:lineRule="exact"/>
        <w:ind w:firstLine="640"/>
        <w:jc w:val="both"/>
      </w:pPr>
      <w:r>
        <w:rPr>
          <w:rFonts w:ascii="仿宋_GB2312" w:hAnsi="仿宋_GB2312" w:eastAsia="仿宋_GB2312"/>
          <w:b w:val="0"/>
          <w:sz w:val="32"/>
        </w:rPr>
        <w:t>2024年度一般公共预算财政拨款基本支出4,035.86万元，其中：</w:t>
      </w:r>
      <w:r>
        <w:rPr>
          <w:rFonts w:ascii="仿宋_GB2312" w:hAnsi="仿宋_GB2312" w:eastAsia="仿宋_GB2312"/>
          <w:b/>
          <w:sz w:val="32"/>
        </w:rPr>
        <w:t>人员经费3,943.39万元，</w:t>
      </w:r>
      <w:r>
        <w:rPr>
          <w:rFonts w:ascii="仿宋_GB2312" w:hAnsi="仿宋_GB2312" w:eastAsia="仿宋_GB2312"/>
          <w:b w:val="0"/>
          <w:sz w:val="32"/>
        </w:rPr>
        <w:t>包括：基本工资、津贴补贴、奖金、绩效工资、机关事业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基本养老保险缴费、职业年金缴费、职工基本医疗保险缴费、其他社会保障缴费、住房公积金、退休费、抚恤金、生活补助、助学金。</w:t>
      </w:r>
    </w:p>
    <w:p w14:paraId="4D50A853">
      <w:pPr>
        <w:spacing w:line="580" w:lineRule="exact"/>
        <w:ind w:firstLine="640"/>
        <w:jc w:val="both"/>
      </w:pPr>
      <w:r>
        <w:rPr>
          <w:rFonts w:ascii="仿宋_GB2312" w:hAnsi="仿宋_GB2312" w:eastAsia="仿宋_GB2312"/>
          <w:b/>
          <w:sz w:val="32"/>
        </w:rPr>
        <w:t>公用经费92.47万元，</w:t>
      </w:r>
      <w:r>
        <w:rPr>
          <w:rFonts w:ascii="仿宋_GB2312" w:hAnsi="仿宋_GB2312" w:eastAsia="仿宋_GB2312"/>
          <w:b w:val="0"/>
          <w:sz w:val="32"/>
        </w:rPr>
        <w:t>包括：办公费、印刷费、水费、电费、</w:t>
      </w:r>
      <w:r>
        <w:rPr>
          <w:rFonts w:ascii="仿宋_GB2312" w:hAnsi="仿宋_GB2312" w:eastAsia="仿宋_GB2312"/>
          <w:b w:val="0"/>
          <w:w w:val="97"/>
          <w:sz w:val="32"/>
        </w:rPr>
        <w:t>邮电费、取暖费、物业管理费、维修（护）费、培训费、工会经费。</w:t>
      </w:r>
    </w:p>
    <w:p w14:paraId="303B5324">
      <w:pPr>
        <w:spacing w:line="640" w:lineRule="exact"/>
        <w:ind w:firstLine="640"/>
        <w:jc w:val="both"/>
        <w:outlineLvl w:val="2"/>
      </w:pPr>
      <w:r>
        <w:rPr>
          <w:rFonts w:ascii="黑体" w:hAnsi="黑体" w:eastAsia="黑体"/>
          <w:sz w:val="32"/>
        </w:rPr>
        <w:t>七、政府性基金预算财政拨款收入支出决算情况说明</w:t>
      </w:r>
    </w:p>
    <w:p w14:paraId="3E61D5C8">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本年度无政府性基金预算财政拨款收入、支出及结转和结余，政府性基金预算财政拨款收入支出决算表为空表。</w:t>
      </w:r>
    </w:p>
    <w:p w14:paraId="5F990309">
      <w:pPr>
        <w:spacing w:line="640" w:lineRule="exact"/>
        <w:ind w:firstLine="640"/>
        <w:jc w:val="both"/>
        <w:outlineLvl w:val="2"/>
      </w:pPr>
      <w:r>
        <w:rPr>
          <w:rFonts w:ascii="黑体" w:hAnsi="黑体" w:eastAsia="黑体"/>
          <w:sz w:val="32"/>
        </w:rPr>
        <w:t>八、国有资本经营预算财政拨款收入支出决算情况说明</w:t>
      </w:r>
    </w:p>
    <w:p w14:paraId="09336ACA">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本年度无国有资本经营预算财政拨款收入、支出及结转和结余，国有资本经营预算财政拨款收入支出决算表为空表。</w:t>
      </w:r>
    </w:p>
    <w:p w14:paraId="554EB00B">
      <w:pPr>
        <w:spacing w:line="640" w:lineRule="exact"/>
        <w:ind w:firstLine="640"/>
        <w:jc w:val="both"/>
        <w:outlineLvl w:val="2"/>
      </w:pPr>
      <w:r>
        <w:rPr>
          <w:rFonts w:ascii="黑体" w:hAnsi="黑体" w:eastAsia="黑体"/>
          <w:sz w:val="32"/>
        </w:rPr>
        <w:t>九、财政拨款“三公”经费支出决算情况说明</w:t>
      </w:r>
    </w:p>
    <w:p w14:paraId="29D4B9BF">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0EA67E4B">
      <w:pPr>
        <w:spacing w:line="580" w:lineRule="exact"/>
        <w:ind w:firstLine="640"/>
        <w:jc w:val="both"/>
      </w:pPr>
      <w:r>
        <w:rPr>
          <w:rFonts w:ascii="仿宋_GB2312" w:hAnsi="仿宋_GB2312" w:eastAsia="仿宋_GB2312"/>
          <w:b/>
          <w:sz w:val="32"/>
        </w:rPr>
        <w:t>具体情况如下：</w:t>
      </w:r>
    </w:p>
    <w:p w14:paraId="0BC6020B">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15CF7C51">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无公务用车运行维护费。公务用车购置数0辆，公务用车保有量0辆。国有资产占用情况中固定资产</w:t>
      </w:r>
      <w:r>
        <w:rPr>
          <w:rFonts w:ascii="仿宋_GB2312" w:hAnsi="仿宋_GB2312" w:eastAsia="仿宋_GB2312"/>
          <w:b w:val="0"/>
          <w:w w:val="97"/>
          <w:sz w:val="32"/>
        </w:rPr>
        <w:t>车辆0辆，与公务用车保有量差异原因是：本</w:t>
      </w:r>
      <w:r>
        <w:rPr>
          <w:rFonts w:hint="eastAsia" w:ascii="仿宋_GB2312" w:hAnsi="仿宋_GB2312" w:eastAsia="仿宋_GB2312"/>
          <w:b w:val="0"/>
          <w:w w:val="97"/>
          <w:sz w:val="32"/>
          <w:lang w:eastAsia="zh-CN"/>
        </w:rPr>
        <w:t>单位</w:t>
      </w:r>
      <w:r>
        <w:rPr>
          <w:rFonts w:ascii="仿宋_GB2312" w:hAnsi="仿宋_GB2312" w:eastAsia="仿宋_GB2312"/>
          <w:b w:val="0"/>
          <w:w w:val="97"/>
          <w:sz w:val="32"/>
        </w:rPr>
        <w:t>无固定资产车辆。</w:t>
      </w:r>
    </w:p>
    <w:p w14:paraId="2353D17F">
      <w:pPr>
        <w:spacing w:line="580" w:lineRule="exact"/>
        <w:ind w:firstLine="640"/>
        <w:jc w:val="both"/>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全年安排的国内公务接待0批次，0人次。</w:t>
      </w:r>
    </w:p>
    <w:p w14:paraId="0E52E871">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无财政拨款“三公”经费支出。其中：因公出国（境）费全年预算数0.00万元，决算数0.00万元，预决算差异率0.00%，主要原因是：本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无公务用车购置费。公务用车运行维护费全年预算数0.00万元，决算数0.00万元，预决算差异率0.00%，主要原因是：本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无公务用车运行维护费。公务接待费全年预算数0.00万元，决算数0.00万元，预决算差异率0.00%，主要原因是：本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p>
    <w:p w14:paraId="08A18BA2">
      <w:pPr>
        <w:spacing w:line="640" w:lineRule="exact"/>
        <w:ind w:firstLine="640"/>
        <w:jc w:val="both"/>
        <w:outlineLvl w:val="2"/>
      </w:pPr>
      <w:r>
        <w:rPr>
          <w:rFonts w:ascii="黑体" w:hAnsi="黑体" w:eastAsia="黑体"/>
          <w:sz w:val="32"/>
        </w:rPr>
        <w:t>十、其他重要事项的情况说明</w:t>
      </w:r>
    </w:p>
    <w:p w14:paraId="42EB27F3">
      <w:pPr>
        <w:spacing w:line="640" w:lineRule="exact"/>
        <w:ind w:firstLine="640"/>
        <w:jc w:val="both"/>
        <w:outlineLvl w:val="3"/>
      </w:pPr>
      <w:r>
        <w:rPr>
          <w:rFonts w:ascii="楷体_GB2312" w:hAnsi="楷体_GB2312" w:eastAsia="楷体_GB2312"/>
          <w:b/>
          <w:sz w:val="32"/>
        </w:rPr>
        <w:t>（一）机关运行经费及公用经费支出情况</w:t>
      </w:r>
    </w:p>
    <w:p w14:paraId="400CF651">
      <w:pPr>
        <w:spacing w:line="580" w:lineRule="exact"/>
        <w:ind w:firstLine="640"/>
        <w:jc w:val="both"/>
      </w:pPr>
      <w:r>
        <w:rPr>
          <w:rFonts w:ascii="仿宋_GB2312" w:hAnsi="仿宋_GB2312" w:eastAsia="仿宋_GB2312"/>
          <w:b w:val="0"/>
          <w:sz w:val="32"/>
        </w:rPr>
        <w:t>2024年度特克斯县喀拉托海镇寄宿制初级中学（事业</w:t>
      </w:r>
      <w:r>
        <w:rPr>
          <w:rFonts w:hint="eastAsia" w:ascii="仿宋_GB2312" w:hAnsi="仿宋_GB2312" w:eastAsia="仿宋_GB2312"/>
          <w:b w:val="0"/>
          <w:sz w:val="32"/>
          <w:lang w:eastAsia="zh-CN"/>
        </w:rPr>
        <w:t>单位</w:t>
      </w:r>
      <w:r>
        <w:rPr>
          <w:rFonts w:ascii="仿宋_GB2312" w:hAnsi="仿宋_GB2312" w:eastAsia="仿宋_GB2312"/>
          <w:b w:val="0"/>
          <w:sz w:val="32"/>
        </w:rPr>
        <w:t>）公用经费支出92.47万元，比上年减少194.03万元，下降67.72%，主要原因是：本年在职人员减少，办公经费减少；减少电费、邮电费、取暖费、物业管理费等，相应公用经费减少。</w:t>
      </w:r>
    </w:p>
    <w:p w14:paraId="6FF23387">
      <w:pPr>
        <w:spacing w:line="640" w:lineRule="exact"/>
        <w:ind w:firstLine="640"/>
        <w:jc w:val="both"/>
        <w:outlineLvl w:val="3"/>
      </w:pPr>
      <w:r>
        <w:rPr>
          <w:rFonts w:ascii="楷体_GB2312" w:hAnsi="楷体_GB2312" w:eastAsia="楷体_GB2312"/>
          <w:b/>
          <w:sz w:val="32"/>
        </w:rPr>
        <w:t>（二）政府采购情况</w:t>
      </w:r>
    </w:p>
    <w:p w14:paraId="17A510F9">
      <w:pPr>
        <w:spacing w:line="580" w:lineRule="exact"/>
        <w:ind w:firstLine="640"/>
        <w:jc w:val="both"/>
      </w:pPr>
      <w:r>
        <w:rPr>
          <w:rFonts w:ascii="仿宋_GB2312" w:hAnsi="仿宋_GB2312" w:eastAsia="仿宋_GB2312"/>
          <w:b w:val="0"/>
          <w:sz w:val="32"/>
        </w:rPr>
        <w:t>2024年度政府采购支出总额17.80万元，其中：政府采购货物支出16.09万元、政府采购工程支出0.00万元、政府采购服务支出1.72万元。</w:t>
      </w:r>
    </w:p>
    <w:p w14:paraId="72567795">
      <w:pPr>
        <w:spacing w:line="580" w:lineRule="exact"/>
        <w:ind w:firstLine="640"/>
        <w:jc w:val="both"/>
      </w:pPr>
      <w:r>
        <w:rPr>
          <w:rFonts w:ascii="仿宋_GB2312" w:hAnsi="仿宋_GB2312" w:eastAsia="仿宋_GB2312"/>
          <w:b w:val="0"/>
          <w:sz w:val="32"/>
        </w:rPr>
        <w:t>授予中小企业合同金额17.80万元，占政府采购支出总额的100.00%，其中：授予小微企业合同金额17.80万元，占政府采购支出总额的100.00%。</w:t>
      </w:r>
    </w:p>
    <w:p w14:paraId="01160D00">
      <w:pPr>
        <w:spacing w:line="640" w:lineRule="exact"/>
        <w:ind w:firstLine="640"/>
        <w:jc w:val="both"/>
        <w:outlineLvl w:val="3"/>
      </w:pPr>
      <w:r>
        <w:rPr>
          <w:rFonts w:ascii="楷体_GB2312" w:hAnsi="楷体_GB2312" w:eastAsia="楷体_GB2312"/>
          <w:b/>
          <w:sz w:val="32"/>
        </w:rPr>
        <w:t>（三）国有资产占用情况说明</w:t>
      </w:r>
    </w:p>
    <w:p w14:paraId="7FFB4D7E">
      <w:pPr>
        <w:spacing w:line="580" w:lineRule="exact"/>
        <w:ind w:firstLine="640"/>
        <w:jc w:val="both"/>
      </w:pPr>
      <w:r>
        <w:rPr>
          <w:rFonts w:ascii="仿宋_GB2312" w:hAnsi="仿宋_GB2312" w:eastAsia="仿宋_GB2312"/>
          <w:b w:val="0"/>
          <w:sz w:val="32"/>
        </w:rPr>
        <w:t>截至2024年12月31日，房屋12,894.27平方米，价值1,002.00万元。车辆0辆，价值0.00万元，其中：副部（省）级及以上领导用车0辆、主要负责人用车0辆、机要通信用车0辆、应急保障用车0辆、执法执勤用车0辆、特种专业技术用车0辆、离退休干部服务用车0辆、其他用车0辆，其他用车主要是：本</w:t>
      </w:r>
      <w:r>
        <w:rPr>
          <w:rFonts w:hint="eastAsia" w:ascii="仿宋_GB2312" w:hAnsi="仿宋_GB2312" w:eastAsia="仿宋_GB2312"/>
          <w:b w:val="0"/>
          <w:sz w:val="32"/>
          <w:lang w:eastAsia="zh-CN"/>
        </w:rPr>
        <w:t>单位</w:t>
      </w:r>
      <w:r>
        <w:rPr>
          <w:rFonts w:ascii="仿宋_GB2312" w:hAnsi="仿宋_GB2312" w:eastAsia="仿宋_GB2312"/>
          <w:b w:val="0"/>
          <w:sz w:val="32"/>
        </w:rPr>
        <w:t>无其他用车。单价100万元（含）以上设备（不含车辆）0台（套）。</w:t>
      </w:r>
    </w:p>
    <w:p w14:paraId="092C6F37">
      <w:pPr>
        <w:spacing w:line="640" w:lineRule="exact"/>
        <w:ind w:firstLine="640"/>
        <w:jc w:val="both"/>
        <w:outlineLvl w:val="2"/>
      </w:pPr>
      <w:r>
        <w:rPr>
          <w:rFonts w:ascii="黑体" w:hAnsi="黑体" w:eastAsia="黑体"/>
          <w:sz w:val="32"/>
        </w:rPr>
        <w:t>十一、预算绩效的情况说明</w:t>
      </w:r>
    </w:p>
    <w:p w14:paraId="6AA263B9">
      <w:pPr>
        <w:spacing w:line="580" w:lineRule="exact"/>
        <w:ind w:firstLine="640"/>
        <w:jc w:val="both"/>
      </w:pPr>
      <w:r>
        <w:rPr>
          <w:rFonts w:ascii="仿宋_GB2312" w:hAnsi="仿宋_GB2312" w:eastAsia="仿宋_GB2312"/>
          <w:b w:val="0"/>
          <w:sz w:val="32"/>
        </w:rPr>
        <w:t>根据预算绩效管理要求，本</w:t>
      </w:r>
      <w:r>
        <w:rPr>
          <w:rFonts w:hint="eastAsia" w:ascii="仿宋_GB2312" w:hAnsi="仿宋_GB2312" w:eastAsia="仿宋_GB2312"/>
          <w:b w:val="0"/>
          <w:sz w:val="32"/>
          <w:lang w:eastAsia="zh-CN"/>
        </w:rPr>
        <w:t>单位</w:t>
      </w:r>
      <w:r>
        <w:rPr>
          <w:rFonts w:ascii="仿宋_GB2312" w:hAnsi="仿宋_GB2312" w:eastAsia="仿宋_GB2312"/>
          <w:b w:val="0"/>
          <w:sz w:val="32"/>
        </w:rPr>
        <w:t>2024年度预算绩效管理形成整体支出绩效自评表1个，全年预算总额4,064.55万元，实际执行总额4,064.55万元；预算绩效评价项目0个，全年预算数0.00万元，全年执行数0.00万元。预算绩效管理取得的成效：本年无预算绩效项目自评表。发现的问题及原因：本年无预算绩效项目自评表。下一步改进措施：本年无预算绩效项目自评表。具体附整体支出绩效自评表。</w:t>
      </w:r>
    </w:p>
    <w:p w14:paraId="343CBE6F">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27C06EAA">
        <w:tc>
          <w:tcPr>
            <w:tcW w:w="8840" w:type="dxa"/>
            <w:gridSpan w:val="8"/>
            <w:vAlign w:val="center"/>
          </w:tcPr>
          <w:p w14:paraId="1A49A342">
            <w:pPr>
              <w:jc w:val="center"/>
            </w:pPr>
            <w:r>
              <w:rPr>
                <w:rFonts w:hint="eastAsia" w:ascii="宋体" w:hAnsi="宋体"/>
                <w:sz w:val="24"/>
                <w:lang w:eastAsia="zh-CN"/>
              </w:rPr>
              <w:t>单位</w:t>
            </w:r>
            <w:r>
              <w:rPr>
                <w:rFonts w:ascii="宋体" w:hAnsi="宋体" w:eastAsia="宋体"/>
                <w:sz w:val="24"/>
              </w:rPr>
              <w:t>整体支出绩效自评表</w:t>
            </w:r>
          </w:p>
        </w:tc>
      </w:tr>
      <w:tr w14:paraId="17763129">
        <w:tblPrEx>
          <w:tblCellMar>
            <w:top w:w="0" w:type="dxa"/>
            <w:left w:w="108" w:type="dxa"/>
            <w:bottom w:w="0" w:type="dxa"/>
            <w:right w:w="108" w:type="dxa"/>
          </w:tblCellMar>
        </w:tblPrEx>
        <w:tc>
          <w:tcPr>
            <w:tcW w:w="8840" w:type="dxa"/>
            <w:gridSpan w:val="8"/>
            <w:vAlign w:val="center"/>
          </w:tcPr>
          <w:p w14:paraId="6B822749">
            <w:pPr>
              <w:jc w:val="center"/>
            </w:pPr>
            <w:r>
              <w:rPr>
                <w:rFonts w:ascii="宋体" w:hAnsi="宋体" w:eastAsia="宋体"/>
                <w:sz w:val="24"/>
              </w:rPr>
              <w:t>（2024年度）</w:t>
            </w:r>
          </w:p>
        </w:tc>
      </w:tr>
      <w:tr w14:paraId="6D2FBF91">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F1E4ED">
            <w:pPr>
              <w:jc w:val="center"/>
            </w:pPr>
            <w:r>
              <w:rPr>
                <w:rFonts w:hint="eastAsia" w:ascii="宋体" w:hAnsi="宋体"/>
                <w:sz w:val="16"/>
                <w:lang w:eastAsia="zh-CN"/>
              </w:rPr>
              <w:t>单位</w:t>
            </w:r>
            <w:r>
              <w:rPr>
                <w:rFonts w:ascii="宋体" w:hAnsi="宋体" w:eastAsia="宋体"/>
                <w:sz w:val="16"/>
              </w:rPr>
              <w:t>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F9B15F">
            <w:pPr>
              <w:jc w:val="center"/>
            </w:pPr>
            <w:r>
              <w:rPr>
                <w:rFonts w:ascii="宋体" w:hAnsi="宋体" w:eastAsia="宋体"/>
                <w:sz w:val="16"/>
              </w:rPr>
              <w:t>特克斯县喀拉托海镇寄宿制初级中学</w:t>
            </w:r>
          </w:p>
        </w:tc>
      </w:tr>
      <w:tr w14:paraId="4AFE7368">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E18EEE">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452761">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EC8596">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F6D548">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F7A088">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2016DE">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777BDE">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14FC1C">
            <w:pPr>
              <w:jc w:val="center"/>
            </w:pPr>
            <w:r>
              <w:rPr>
                <w:rFonts w:ascii="宋体" w:hAnsi="宋体" w:eastAsia="宋体"/>
                <w:sz w:val="16"/>
              </w:rPr>
              <w:t>得分</w:t>
            </w:r>
          </w:p>
        </w:tc>
      </w:tr>
      <w:tr w14:paraId="125D588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56F55B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FDDB9D">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BEE9F0">
            <w:pPr>
              <w:jc w:val="center"/>
            </w:pPr>
            <w:r>
              <w:rPr>
                <w:rFonts w:ascii="宋体" w:hAnsi="宋体" w:eastAsia="宋体"/>
                <w:sz w:val="16"/>
              </w:rPr>
              <w:t>3,990.47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F96759">
            <w:pPr>
              <w:jc w:val="center"/>
            </w:pPr>
            <w:r>
              <w:rPr>
                <w:rFonts w:ascii="宋体" w:hAnsi="宋体" w:eastAsia="宋体"/>
                <w:sz w:val="16"/>
              </w:rPr>
              <w:t>4,064.55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1DA06F">
            <w:pPr>
              <w:jc w:val="center"/>
            </w:pPr>
            <w:r>
              <w:rPr>
                <w:rFonts w:ascii="宋体" w:hAnsi="宋体" w:eastAsia="宋体"/>
                <w:sz w:val="16"/>
              </w:rPr>
              <w:t>4,064.55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6F793B">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3D4E2B">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E34639">
            <w:pPr>
              <w:jc w:val="center"/>
            </w:pPr>
            <w:r>
              <w:rPr>
                <w:rFonts w:ascii="宋体" w:hAnsi="宋体" w:eastAsia="宋体"/>
                <w:sz w:val="16"/>
              </w:rPr>
              <w:t>10</w:t>
            </w:r>
          </w:p>
        </w:tc>
      </w:tr>
      <w:tr w14:paraId="0CB4394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D3AF14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CD3D19">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F86F4B">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B94BF2">
            <w:pPr>
              <w:jc w:val="center"/>
            </w:pPr>
            <w:r>
              <w:rPr>
                <w:rFonts w:ascii="宋体" w:hAnsi="宋体" w:eastAsia="宋体"/>
                <w:sz w:val="16"/>
              </w:rPr>
              <w:t>128.74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3EE94F">
            <w:pPr>
              <w:jc w:val="center"/>
            </w:pPr>
            <w:r>
              <w:rPr>
                <w:rFonts w:ascii="宋体" w:hAnsi="宋体" w:eastAsia="宋体"/>
                <w:sz w:val="16"/>
              </w:rPr>
              <w:t>128.74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D89E9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BFD69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F102AB">
            <w:pPr>
              <w:jc w:val="center"/>
            </w:pPr>
            <w:r>
              <w:rPr>
                <w:rFonts w:ascii="宋体" w:hAnsi="宋体" w:eastAsia="宋体"/>
                <w:sz w:val="16"/>
              </w:rPr>
              <w:t>-</w:t>
            </w:r>
          </w:p>
        </w:tc>
      </w:tr>
      <w:tr w14:paraId="77E64E1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8AA2A1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3C4894">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106A27">
            <w:pPr>
              <w:jc w:val="center"/>
            </w:pPr>
            <w:r>
              <w:rPr>
                <w:rFonts w:ascii="宋体" w:hAnsi="宋体" w:eastAsia="宋体"/>
                <w:sz w:val="16"/>
              </w:rPr>
              <w:t>3,990.47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2F4F49">
            <w:pPr>
              <w:jc w:val="center"/>
            </w:pPr>
            <w:r>
              <w:rPr>
                <w:rFonts w:ascii="宋体" w:hAnsi="宋体" w:eastAsia="宋体"/>
                <w:sz w:val="16"/>
              </w:rPr>
              <w:t>3,907.11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0794B8">
            <w:pPr>
              <w:jc w:val="center"/>
            </w:pPr>
            <w:r>
              <w:rPr>
                <w:rFonts w:ascii="宋体" w:hAnsi="宋体" w:eastAsia="宋体"/>
                <w:sz w:val="16"/>
              </w:rPr>
              <w:t>3,907.11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2C583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395DE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495E70">
            <w:pPr>
              <w:jc w:val="center"/>
            </w:pPr>
            <w:r>
              <w:rPr>
                <w:rFonts w:ascii="宋体" w:hAnsi="宋体" w:eastAsia="宋体"/>
                <w:sz w:val="16"/>
              </w:rPr>
              <w:t>-</w:t>
            </w:r>
          </w:p>
        </w:tc>
      </w:tr>
      <w:tr w14:paraId="69C13EB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CBBD84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FC3F3D">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992F96">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C9699C">
            <w:pPr>
              <w:jc w:val="center"/>
            </w:pPr>
            <w:r>
              <w:rPr>
                <w:rFonts w:ascii="宋体" w:hAnsi="宋体" w:eastAsia="宋体"/>
                <w:sz w:val="16"/>
              </w:rPr>
              <w:t>28.70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E0449B">
            <w:pPr>
              <w:jc w:val="center"/>
            </w:pPr>
            <w:r>
              <w:rPr>
                <w:rFonts w:ascii="宋体" w:hAnsi="宋体" w:eastAsia="宋体"/>
                <w:sz w:val="16"/>
              </w:rPr>
              <w:t>28.70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F0991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15625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0A0589">
            <w:pPr>
              <w:jc w:val="center"/>
            </w:pPr>
            <w:r>
              <w:rPr>
                <w:rFonts w:ascii="宋体" w:hAnsi="宋体" w:eastAsia="宋体"/>
                <w:sz w:val="16"/>
              </w:rPr>
              <w:t>-</w:t>
            </w:r>
          </w:p>
        </w:tc>
      </w:tr>
      <w:tr w14:paraId="70667E68">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EFB03F">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763FA4E">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2ED7D3C">
            <w:pPr>
              <w:jc w:val="center"/>
            </w:pPr>
            <w:r>
              <w:rPr>
                <w:rFonts w:ascii="宋体" w:hAnsi="宋体" w:eastAsia="宋体"/>
                <w:sz w:val="16"/>
              </w:rPr>
              <w:t>实际完成情况</w:t>
            </w:r>
          </w:p>
        </w:tc>
      </w:tr>
      <w:tr w14:paraId="135892F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257A29A"/>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6D7CD99">
            <w:pPr>
              <w:jc w:val="both"/>
            </w:pPr>
            <w:r>
              <w:rPr>
                <w:rFonts w:ascii="宋体" w:hAnsi="宋体" w:eastAsia="宋体"/>
                <w:sz w:val="16"/>
              </w:rPr>
              <w:t>贯彻落实党中央教育方针，一是宣传贯彻党的路线、方针、政策，坚持正确的办学方向，有效保障学校教育教学的可持续发展。二是宣传党的教育理论，指导干部学习党的理论，培养合格的教师队伍，有效提高教师的国家通用语言文字教育教学水平。三是按照上级部门工作要求，认真开展学校绩效量化考核工作，有效提升教师的工作积极性。四是完善德育机制，形成工作合力，有效开展学校的德育教学。五是加强学校民族团结教育，有效培养师生民族团结意识。六是创建义务教育优质均衡，有效促进优质均衡发展。</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72ECE80">
            <w:pPr>
              <w:jc w:val="both"/>
            </w:pPr>
            <w:r>
              <w:rPr>
                <w:rFonts w:ascii="宋体" w:hAnsi="宋体" w:eastAsia="宋体"/>
                <w:sz w:val="16"/>
              </w:rPr>
              <w:t>(一)党建工作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1．加强组织建设</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（1）加强党组织的自身建设，提高党员的政治素质和组织纪律性。通过开展集中学习、组织生活等方式，加强对党的路线方针政策和决策部署的学习和理解。</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推进党建工作，规范党员发展。深入贯彻落实党的各项决策部署，积极开展各项党建活动。通过组织主题党日、党员站点学习、三进两联一交友等活动，增强党员的责任感和服务意识。严格执行党章规定的党员标准，严守民主推荐制、预审制、发展公示制、讨论票决制、责任追究制、跟踪教育制，做好发展对象入党和预备党员转正的工作。今年计划发展2名预备党员，3名积极分子，发展2名教师递交入党申请书。</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2、具体措施</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（1）落实“三会一课”制度，每月定期召开支部委员会议、支部党员大会和党小组会议，组织党员参加各种形式的培训和学习活动。同时，坚持每月一次的党课教育，加强对党员的理论教育和思想引导。</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（2）开展主题党日活动，每月组织一次主题党日活动，包括集体学习、参观考察、志愿服务等。通过丰富多彩的活动形式，激发党员的工作热情和奉献精神，加强考核评议工作，建立完善的考核评价体系。</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3、深入推进党风廉政建设</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1）持之以恒开展廉洁自律教育，不断增强党员干部廉洁务实的意识。在实际工作中，凡要求群众做到的事情，党员干部自己要率先垂范，凡要求群众不做的事情，党员干部特别是主要领导干部自己绝不越“雷池”一步。</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（2）开展“千名教师访万家”和“三进两联一交友”活动，切实转变工作作风，深入村、家庭一线倾听社会各界对教育的意见和建议，树立教育系统良好形象。</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（3）加强党员专业化水平的提高，开展“党员公开课”、“党员教学活动设计”等活动，使党员成为教学实践、课题研究的先行者和排头兵，并促进自我专业能力的提高。</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（二）德育工作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1.坚持“三个加强”，即加强常规管理，加强队伍建设，加强德育科研，调动校内各条线的育人积极性，全员育人、全程育人，落实五育并举的工作重点，通过开展多彩的校园德育活动、组织社会实践活动、深化少先队团员活动，从活动中培养和提高学生的综合素质。</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2.加强各学科德育渗透，挖掘学科德育点，促进德育教育科学、规范、有序进行，巩固养成教育成果，落实全程、全方位育人理念，加强学生的日常行为规范教育，促进学生养成良好的行为习惯。</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3.继续加强校园文化和班级文化建设，营造良好的德育环境</w:t>
            </w:r>
            <w:r>
              <w:rPr>
                <w:rFonts w:hint="eastAsia" w:ascii="宋体" w:hAnsi="宋体"/>
                <w:sz w:val="16"/>
                <w:lang w:eastAsia="zh-CN"/>
              </w:rPr>
              <w:t>。</w:t>
            </w:r>
            <w:r>
              <w:rPr>
                <w:rFonts w:ascii="宋体" w:hAnsi="宋体" w:eastAsia="宋体"/>
                <w:sz w:val="16"/>
              </w:rPr>
              <w:t>加强法治教育、安全教育、心理健康教育，</w:t>
            </w:r>
            <w:r>
              <w:rPr>
                <w:rFonts w:hint="eastAsia" w:ascii="宋体" w:hAnsi="宋体"/>
                <w:sz w:val="16"/>
                <w:lang w:eastAsia="zh-CN"/>
              </w:rPr>
              <w:t>增强</w:t>
            </w:r>
            <w:r>
              <w:rPr>
                <w:rFonts w:ascii="宋体" w:hAnsi="宋体" w:eastAsia="宋体"/>
                <w:sz w:val="16"/>
              </w:rPr>
              <w:t>师生安全防范意识，培养健康的心理，提升师生维护安全能力。</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4.积极开展班主任例会，有针对性地结合学校具体情况开展培训，加强常规管理，坚持校外进修与校内培训相结合，强化班主任岗位责任意识，提高班主任工作的效率，促进班主任专业化发展。</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5.德育检查情况每日一反馈、每周一汇总、每周一表彰、每月一考核，通过主题系列活动</w:t>
            </w:r>
            <w:r>
              <w:rPr>
                <w:rFonts w:hint="eastAsia" w:ascii="宋体" w:hAnsi="宋体"/>
                <w:sz w:val="16"/>
                <w:lang w:eastAsia="zh-CN"/>
              </w:rPr>
              <w:t>的方</w:t>
            </w:r>
            <w:r>
              <w:rPr>
                <w:rFonts w:ascii="宋体" w:hAnsi="宋体" w:eastAsia="宋体"/>
                <w:sz w:val="16"/>
              </w:rPr>
              <w:t>式，提高宣传力度，加大对校园欺凌的检查和打击，维</w:t>
            </w:r>
            <w:r>
              <w:rPr>
                <w:rFonts w:hint="eastAsia" w:ascii="宋体" w:hAnsi="宋体"/>
                <w:sz w:val="16"/>
                <w:lang w:eastAsia="zh-CN"/>
              </w:rPr>
              <w:t>护学</w:t>
            </w:r>
            <w:r>
              <w:rPr>
                <w:rFonts w:ascii="宋体" w:hAnsi="宋体" w:eastAsia="宋体"/>
                <w:sz w:val="16"/>
              </w:rPr>
              <w:t>生身心安全。</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（三）教育教学工作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1、细化、优化各项常规工作，主要加强教学秩序检查，确保教学秩序稳定。全面落实课程计划，按照国家课程计划开齐、开足、上好各类课程，不任意增删课时。</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学习理解课改意义，逐步转变教学理念，加强课程管理，确保每门学科的教学质量不断提高。以教育创新为主线，以教育科研为先导，以课堂教学为主战场，不断提高教师教学水平，进一步解放思想，实事求是，与时俱进，全面提高教学质量。</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　　3、加强教师队伍建设，发挥骨干教师引领作用和加强新教师培养工作。要求教师把课堂作为</w:t>
            </w:r>
            <w:r>
              <w:rPr>
                <w:rFonts w:hint="eastAsia" w:ascii="宋体" w:hAnsi="宋体"/>
                <w:sz w:val="16"/>
                <w:lang w:eastAsia="zh-CN"/>
              </w:rPr>
              <w:t>提高</w:t>
            </w:r>
            <w:r>
              <w:rPr>
                <w:rFonts w:ascii="宋体" w:hAnsi="宋体" w:eastAsia="宋体"/>
                <w:sz w:val="16"/>
              </w:rPr>
              <w:t>教学质量的主阵地，</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4、规范课堂教学行为，提高教学质量，促进学生全面发展，对学校开设的所有课程都进行不同形式的检测。加大课程巡查力度，教务处利用天翼云眼和不定时的进课堂对各教师执行课程计划、按课表上课等情景进行督查，发现问题要严肃处理。</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5、加强校本教研，定期开展校内教研活动以及学区联片教研活动，强化教师教科研意识继续落实。继续推行推门听课和公开课听课制度，改进教学方法，提高课堂效率。教案及作业的检查采取常规检查与抽查相结合。</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6、加强体育和艺术教育，树立“每天锻炼一小时，健康生活一辈子”理念，实施国家学生体质健康标准，保证“两操、两活动”的有效开展。开展多彩的社团活动，激发学生的兴趣，培养学生特长，是减负增效的重要手段。</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7、进一步加强青年教师培养工作，有目标，有层次，有措施地加强师资队伍建设。经过校内公开课，同课异构，专家引领，校外研修等丰富多彩的教师培训活动，学习-培训-展示为一体的机制，将</w:t>
            </w:r>
            <w:r>
              <w:rPr>
                <w:rFonts w:hint="eastAsia" w:ascii="宋体" w:hAnsi="宋体"/>
                <w:sz w:val="16"/>
                <w:lang w:eastAsia="zh-CN"/>
              </w:rPr>
              <w:t>自我</w:t>
            </w:r>
            <w:r>
              <w:rPr>
                <w:rFonts w:ascii="宋体" w:hAnsi="宋体" w:eastAsia="宋体"/>
                <w:sz w:val="16"/>
              </w:rPr>
              <w:t>培训中的收获用讲课或者讲解的方式给大家分享。</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8、继续做好课后托管工作，做到有措施、有安排，合理安排托管课程内容，教务处要对托管授课情况进行巡查并</w:t>
            </w:r>
            <w:r>
              <w:rPr>
                <w:rFonts w:hint="eastAsia" w:ascii="宋体" w:hAnsi="宋体"/>
                <w:sz w:val="16"/>
                <w:lang w:eastAsia="zh-CN"/>
              </w:rPr>
              <w:t>做好</w:t>
            </w:r>
            <w:r>
              <w:rPr>
                <w:rFonts w:ascii="宋体" w:hAnsi="宋体" w:eastAsia="宋体"/>
                <w:sz w:val="16"/>
              </w:rPr>
              <w:t>登记，做到有实效。</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9、加强教学档案的规范化管理，重视每学期教学档案和教师业务档案的整理，对各学科教学常规落实及检查、开展活动</w:t>
            </w:r>
            <w:r>
              <w:rPr>
                <w:rFonts w:hint="eastAsia" w:ascii="宋体" w:hAnsi="宋体"/>
                <w:sz w:val="16"/>
                <w:lang w:eastAsia="zh-CN"/>
              </w:rPr>
              <w:t>情况</w:t>
            </w:r>
            <w:r>
              <w:rPr>
                <w:rFonts w:ascii="宋体" w:hAnsi="宋体" w:eastAsia="宋体"/>
                <w:sz w:val="16"/>
              </w:rPr>
              <w:t>、教师业务档案、教研成果等进行详实</w:t>
            </w:r>
            <w:r>
              <w:rPr>
                <w:rFonts w:hint="eastAsia" w:ascii="宋体" w:hAnsi="宋体"/>
                <w:sz w:val="16"/>
                <w:lang w:eastAsia="zh-CN"/>
              </w:rPr>
              <w:t>记录</w:t>
            </w:r>
            <w:r>
              <w:rPr>
                <w:rFonts w:ascii="宋体" w:hAnsi="宋体" w:eastAsia="宋体"/>
                <w:sz w:val="16"/>
              </w:rPr>
              <w:t>，统一归档，系统管理。</w:t>
            </w:r>
          </w:p>
        </w:tc>
      </w:tr>
      <w:tr w14:paraId="1CBD8306">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7A91F8">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174425">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9689BD">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D5D2BA">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AF9C8E">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21D827">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318737">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EE21E3">
            <w:pPr>
              <w:jc w:val="center"/>
            </w:pPr>
            <w:r>
              <w:rPr>
                <w:rFonts w:ascii="宋体" w:hAnsi="宋体" w:eastAsia="宋体"/>
                <w:sz w:val="16"/>
              </w:rPr>
              <w:t>得分</w:t>
            </w:r>
          </w:p>
        </w:tc>
      </w:tr>
      <w:tr w14:paraId="7F81926E">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8653BC">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FE2980">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3585EF">
            <w:pPr>
              <w:jc w:val="center"/>
            </w:pPr>
            <w:r>
              <w:rPr>
                <w:rFonts w:ascii="宋体" w:hAnsi="宋体" w:eastAsia="宋体"/>
                <w:sz w:val="16"/>
              </w:rPr>
              <w:t>消除义务教育大班额</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34C17D">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E6023F">
            <w:pPr>
              <w:jc w:val="center"/>
            </w:pPr>
            <w:r>
              <w:rPr>
                <w:rFonts w:ascii="宋体" w:hAnsi="宋体" w:eastAsia="宋体"/>
                <w:sz w:val="16"/>
              </w:rPr>
              <w:t>伊犁哈萨克自治州</w:t>
            </w:r>
            <w:r>
              <w:rPr>
                <w:rFonts w:hint="eastAsia" w:ascii="宋体" w:hAnsi="宋体"/>
                <w:sz w:val="16"/>
                <w:lang w:eastAsia="zh-CN"/>
              </w:rPr>
              <w:t>“十四五”规划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BBC008">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F11E67">
            <w:pPr>
              <w:jc w:val="center"/>
            </w:pPr>
            <w:r>
              <w:rPr>
                <w:rFonts w:ascii="宋体" w:hAnsi="宋体" w:eastAsia="宋体"/>
                <w:sz w:val="16"/>
              </w:rPr>
              <w: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B69CBA">
            <w:pPr>
              <w:jc w:val="center"/>
            </w:pPr>
            <w:r>
              <w:rPr>
                <w:rFonts w:ascii="宋体" w:hAnsi="宋体" w:eastAsia="宋体"/>
                <w:sz w:val="16"/>
              </w:rPr>
              <w:t>15</w:t>
            </w:r>
          </w:p>
        </w:tc>
      </w:tr>
      <w:tr w14:paraId="351D204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E62170D"/>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CEC25C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839F35">
            <w:pPr>
              <w:jc w:val="center"/>
            </w:pPr>
            <w:r>
              <w:rPr>
                <w:rFonts w:ascii="宋体" w:hAnsi="宋体" w:eastAsia="宋体"/>
                <w:sz w:val="16"/>
              </w:rPr>
              <w:t>义务教育巩固率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6F8AD6">
            <w:pPr>
              <w:jc w:val="center"/>
            </w:pPr>
            <w:r>
              <w:rPr>
                <w:rFonts w:ascii="宋体" w:hAnsi="宋体" w:eastAsia="宋体"/>
                <w:sz w:val="16"/>
              </w:rPr>
              <w:t>&gt;=98%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CA6F78">
            <w:pPr>
              <w:jc w:val="center"/>
            </w:pPr>
            <w:r>
              <w:rPr>
                <w:rFonts w:ascii="宋体" w:hAnsi="宋体" w:eastAsia="宋体"/>
                <w:sz w:val="16"/>
              </w:rPr>
              <w:t>伊犁哈萨克自治州</w:t>
            </w:r>
            <w:r>
              <w:rPr>
                <w:rFonts w:hint="eastAsia" w:ascii="宋体" w:hAnsi="宋体"/>
                <w:sz w:val="16"/>
                <w:lang w:eastAsia="zh-CN"/>
              </w:rPr>
              <w:t>“十四五”规划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95A3CF">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705B3E">
            <w:pPr>
              <w:jc w:val="center"/>
            </w:pPr>
            <w:r>
              <w:rPr>
                <w:rFonts w:ascii="宋体" w:hAnsi="宋体" w:eastAsia="宋体"/>
                <w:sz w:val="16"/>
              </w:rPr>
              <w:t>98%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7748D4">
            <w:pPr>
              <w:jc w:val="center"/>
            </w:pPr>
            <w:r>
              <w:rPr>
                <w:rFonts w:ascii="宋体" w:hAnsi="宋体" w:eastAsia="宋体"/>
                <w:sz w:val="16"/>
              </w:rPr>
              <w:t>15</w:t>
            </w:r>
          </w:p>
        </w:tc>
      </w:tr>
      <w:tr w14:paraId="1C3A2D5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AB36D1E"/>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3C9EC2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DED678">
            <w:pPr>
              <w:jc w:val="center"/>
            </w:pPr>
            <w:r>
              <w:rPr>
                <w:rFonts w:ascii="宋体" w:hAnsi="宋体" w:eastAsia="宋体"/>
                <w:sz w:val="16"/>
              </w:rPr>
              <w:t>实现信息化教学覆盖率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D09970">
            <w:pPr>
              <w:jc w:val="center"/>
            </w:pPr>
            <w:r>
              <w:rPr>
                <w:rFonts w:ascii="宋体" w:hAnsi="宋体" w:eastAsia="宋体"/>
                <w:sz w:val="16"/>
              </w:rPr>
              <w:t>&gt;=85%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6C337B">
            <w:pPr>
              <w:jc w:val="center"/>
            </w:pPr>
            <w:r>
              <w:rPr>
                <w:rFonts w:ascii="宋体" w:hAnsi="宋体" w:eastAsia="宋体"/>
                <w:sz w:val="16"/>
              </w:rPr>
              <w:t>伊犁哈萨克自治州</w:t>
            </w:r>
            <w:r>
              <w:rPr>
                <w:rFonts w:hint="eastAsia" w:ascii="宋体" w:hAnsi="宋体"/>
                <w:sz w:val="16"/>
                <w:lang w:eastAsia="zh-CN"/>
              </w:rPr>
              <w:t>“十四五”规划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A22C67">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E74A03">
            <w:pPr>
              <w:jc w:val="center"/>
            </w:pPr>
            <w:r>
              <w:rPr>
                <w:rFonts w:ascii="宋体" w:hAnsi="宋体" w:eastAsia="宋体"/>
                <w:sz w:val="16"/>
              </w:rPr>
              <w:t>85%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141A11">
            <w:pPr>
              <w:jc w:val="center"/>
            </w:pPr>
            <w:r>
              <w:rPr>
                <w:rFonts w:ascii="宋体" w:hAnsi="宋体" w:eastAsia="宋体"/>
                <w:sz w:val="16"/>
              </w:rPr>
              <w:t>15</w:t>
            </w:r>
          </w:p>
        </w:tc>
      </w:tr>
      <w:tr w14:paraId="2C10FC5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BB4388C"/>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8E9F9C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DB6224">
            <w:pPr>
              <w:jc w:val="center"/>
            </w:pPr>
            <w:r>
              <w:rPr>
                <w:rFonts w:ascii="宋体" w:hAnsi="宋体" w:eastAsia="宋体"/>
                <w:sz w:val="16"/>
              </w:rPr>
              <w:t>创建平安校园活动举办次数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62A512">
            <w:pPr>
              <w:jc w:val="center"/>
            </w:pPr>
            <w:r>
              <w:rPr>
                <w:rFonts w:ascii="宋体" w:hAnsi="宋体" w:eastAsia="宋体"/>
                <w:sz w:val="16"/>
              </w:rPr>
              <w:t>&gt;=6次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342004">
            <w:pPr>
              <w:jc w:val="center"/>
            </w:pPr>
            <w:r>
              <w:rPr>
                <w:rFonts w:ascii="宋体" w:hAnsi="宋体" w:eastAsia="宋体"/>
                <w:sz w:val="16"/>
              </w:rPr>
              <w:t>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77FD64">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A048B2">
            <w:pPr>
              <w:jc w:val="center"/>
            </w:pPr>
            <w:r>
              <w:rPr>
                <w:rFonts w:ascii="宋体" w:hAnsi="宋体" w:eastAsia="宋体"/>
                <w:sz w:val="16"/>
              </w:rPr>
              <w:t>6次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DA1050">
            <w:pPr>
              <w:jc w:val="center"/>
            </w:pPr>
            <w:r>
              <w:rPr>
                <w:rFonts w:ascii="宋体" w:hAnsi="宋体" w:eastAsia="宋体"/>
                <w:sz w:val="16"/>
              </w:rPr>
              <w:t>15</w:t>
            </w:r>
          </w:p>
        </w:tc>
      </w:tr>
      <w:tr w14:paraId="3668F22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9B8465E"/>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CEAFA9">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639F59">
            <w:pPr>
              <w:jc w:val="center"/>
            </w:pPr>
            <w:r>
              <w:rPr>
                <w:rFonts w:ascii="宋体" w:hAnsi="宋体" w:eastAsia="宋体"/>
                <w:sz w:val="16"/>
              </w:rPr>
              <w:t>义务教育优质均衡率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AAE30B">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50668A">
            <w:pPr>
              <w:jc w:val="center"/>
            </w:pPr>
            <w:r>
              <w:rPr>
                <w:rFonts w:ascii="宋体" w:hAnsi="宋体" w:eastAsia="宋体"/>
                <w:sz w:val="16"/>
              </w:rPr>
              <w:t>伊犁哈萨克自治州</w:t>
            </w:r>
            <w:r>
              <w:rPr>
                <w:rFonts w:hint="eastAsia" w:ascii="宋体" w:hAnsi="宋体"/>
                <w:sz w:val="16"/>
                <w:lang w:eastAsia="zh-CN"/>
              </w:rPr>
              <w:t>“十四五”规划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E09E47">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10B583">
            <w:pPr>
              <w:jc w:val="center"/>
            </w:pPr>
            <w:r>
              <w:rPr>
                <w:rFonts w:ascii="宋体" w:hAnsi="宋体" w:eastAsia="宋体"/>
                <w:sz w:val="16"/>
              </w:rPr>
              <w: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F90111">
            <w:pPr>
              <w:jc w:val="center"/>
            </w:pPr>
            <w:r>
              <w:rPr>
                <w:rFonts w:ascii="宋体" w:hAnsi="宋体" w:eastAsia="宋体"/>
                <w:sz w:val="16"/>
              </w:rPr>
              <w:t>15</w:t>
            </w:r>
          </w:p>
        </w:tc>
      </w:tr>
      <w:tr w14:paraId="5836B2E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654E46C"/>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BB71A0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8703A8">
            <w:pPr>
              <w:jc w:val="center"/>
            </w:pPr>
            <w:r>
              <w:rPr>
                <w:rFonts w:ascii="宋体" w:hAnsi="宋体" w:eastAsia="宋体"/>
                <w:sz w:val="16"/>
              </w:rPr>
              <w:t>国家通用语言文字教育教学</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20A1FA">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961AE0">
            <w:pPr>
              <w:jc w:val="center"/>
            </w:pPr>
            <w:r>
              <w:rPr>
                <w:rFonts w:ascii="宋体" w:hAnsi="宋体" w:eastAsia="宋体"/>
                <w:sz w:val="16"/>
              </w:rPr>
              <w:t>伊犁哈萨克自治州</w:t>
            </w:r>
            <w:r>
              <w:rPr>
                <w:rFonts w:hint="eastAsia" w:ascii="宋体" w:hAnsi="宋体"/>
                <w:sz w:val="16"/>
                <w:lang w:eastAsia="zh-CN"/>
              </w:rPr>
              <w:t>“十四五”规划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4409E8">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D75D65">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FDCC3F">
            <w:pPr>
              <w:jc w:val="center"/>
            </w:pPr>
            <w:r>
              <w:rPr>
                <w:rFonts w:ascii="宋体" w:hAnsi="宋体" w:eastAsia="宋体"/>
                <w:sz w:val="16"/>
              </w:rPr>
              <w:t>15</w:t>
            </w:r>
          </w:p>
        </w:tc>
      </w:tr>
    </w:tbl>
    <w:p w14:paraId="25BE13D2">
      <w:r>
        <w:br w:type="page"/>
      </w:r>
    </w:p>
    <w:p w14:paraId="3FDB9F3F">
      <w:pPr>
        <w:spacing w:line="640" w:lineRule="exact"/>
        <w:ind w:firstLine="640"/>
        <w:jc w:val="both"/>
        <w:outlineLvl w:val="2"/>
      </w:pPr>
      <w:r>
        <w:rPr>
          <w:rFonts w:ascii="黑体" w:hAnsi="黑体" w:eastAsia="黑体"/>
          <w:sz w:val="32"/>
        </w:rPr>
        <w:t>十二、其他需说明的事项</w:t>
      </w:r>
    </w:p>
    <w:p w14:paraId="30D8C24E">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无其他需说明的事项。</w:t>
      </w:r>
    </w:p>
    <w:p w14:paraId="06408451">
      <w:r>
        <w:br w:type="page"/>
      </w:r>
    </w:p>
    <w:p w14:paraId="1E0C2F44">
      <w:pPr>
        <w:spacing w:line="240" w:lineRule="auto"/>
        <w:jc w:val="center"/>
        <w:outlineLvl w:val="1"/>
      </w:pPr>
      <w:r>
        <w:rPr>
          <w:rFonts w:ascii="黑体" w:hAnsi="黑体" w:eastAsia="黑体"/>
          <w:sz w:val="32"/>
        </w:rPr>
        <w:t>第三部分 专业名词解释</w:t>
      </w:r>
    </w:p>
    <w:p w14:paraId="2C4617BA">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7247035">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624D510A">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322A2225">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3082E561">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16CDC1C3">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7455E6BD">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DFDF180">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59FC783">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FB30918">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59BD559">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241FC4FC">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351FFF9E">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4F9EB7A2">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04D85216">
      <w:r>
        <w:br w:type="page"/>
      </w:r>
    </w:p>
    <w:p w14:paraId="27A33114">
      <w:pPr>
        <w:spacing w:line="240" w:lineRule="auto"/>
        <w:jc w:val="center"/>
        <w:outlineLvl w:val="1"/>
      </w:pPr>
      <w:r>
        <w:rPr>
          <w:rFonts w:ascii="黑体" w:hAnsi="黑体" w:eastAsia="黑体"/>
          <w:sz w:val="32"/>
        </w:rPr>
        <w:t>第四部分 部门决算报表（见附表）</w:t>
      </w:r>
    </w:p>
    <w:p w14:paraId="60FC9E48">
      <w:pPr>
        <w:spacing w:line="240" w:lineRule="auto"/>
        <w:ind w:firstLine="640"/>
        <w:jc w:val="both"/>
      </w:pPr>
      <w:r>
        <w:rPr>
          <w:rFonts w:ascii="仿宋_GB2312" w:hAnsi="仿宋_GB2312" w:eastAsia="仿宋_GB2312"/>
          <w:b w:val="0"/>
          <w:sz w:val="32"/>
        </w:rPr>
        <w:t>一、《收入支出决算总表》</w:t>
      </w:r>
    </w:p>
    <w:p w14:paraId="6217C76C">
      <w:pPr>
        <w:spacing w:line="240" w:lineRule="auto"/>
        <w:ind w:firstLine="640"/>
        <w:jc w:val="both"/>
      </w:pPr>
      <w:r>
        <w:rPr>
          <w:rFonts w:ascii="仿宋_GB2312" w:hAnsi="仿宋_GB2312" w:eastAsia="仿宋_GB2312"/>
          <w:b w:val="0"/>
          <w:sz w:val="32"/>
        </w:rPr>
        <w:t>二、《收入决算表》</w:t>
      </w:r>
    </w:p>
    <w:p w14:paraId="14C66F38">
      <w:pPr>
        <w:spacing w:line="240" w:lineRule="auto"/>
        <w:ind w:firstLine="640"/>
        <w:jc w:val="both"/>
      </w:pPr>
      <w:r>
        <w:rPr>
          <w:rFonts w:ascii="仿宋_GB2312" w:hAnsi="仿宋_GB2312" w:eastAsia="仿宋_GB2312"/>
          <w:b w:val="0"/>
          <w:sz w:val="32"/>
        </w:rPr>
        <w:t>三、《支出决算表》</w:t>
      </w:r>
    </w:p>
    <w:p w14:paraId="2B7ABE33">
      <w:pPr>
        <w:spacing w:line="240" w:lineRule="auto"/>
        <w:ind w:firstLine="640"/>
        <w:jc w:val="both"/>
      </w:pPr>
      <w:r>
        <w:rPr>
          <w:rFonts w:ascii="仿宋_GB2312" w:hAnsi="仿宋_GB2312" w:eastAsia="仿宋_GB2312"/>
          <w:b w:val="0"/>
          <w:sz w:val="32"/>
        </w:rPr>
        <w:t>四、《财政拨款收入支出决算总表》</w:t>
      </w:r>
    </w:p>
    <w:p w14:paraId="4B90D754">
      <w:pPr>
        <w:spacing w:line="240" w:lineRule="auto"/>
        <w:ind w:firstLine="640"/>
        <w:jc w:val="both"/>
      </w:pPr>
      <w:r>
        <w:rPr>
          <w:rFonts w:ascii="仿宋_GB2312" w:hAnsi="仿宋_GB2312" w:eastAsia="仿宋_GB2312"/>
          <w:b w:val="0"/>
          <w:sz w:val="32"/>
        </w:rPr>
        <w:t>五、《一般公共预算财政拨款支出决算表》</w:t>
      </w:r>
    </w:p>
    <w:p w14:paraId="745413A1">
      <w:pPr>
        <w:spacing w:line="240" w:lineRule="auto"/>
        <w:ind w:firstLine="640"/>
        <w:jc w:val="both"/>
      </w:pPr>
      <w:r>
        <w:rPr>
          <w:rFonts w:ascii="仿宋_GB2312" w:hAnsi="仿宋_GB2312" w:eastAsia="仿宋_GB2312"/>
          <w:b w:val="0"/>
          <w:sz w:val="32"/>
        </w:rPr>
        <w:t>六、《一般公共预算财政拨款基本支出决算表》</w:t>
      </w:r>
    </w:p>
    <w:p w14:paraId="589E22B9">
      <w:pPr>
        <w:spacing w:line="240" w:lineRule="auto"/>
        <w:ind w:firstLine="640"/>
        <w:jc w:val="both"/>
      </w:pPr>
      <w:r>
        <w:rPr>
          <w:rFonts w:ascii="仿宋_GB2312" w:hAnsi="仿宋_GB2312" w:eastAsia="仿宋_GB2312"/>
          <w:b w:val="0"/>
          <w:sz w:val="32"/>
        </w:rPr>
        <w:t>七、《政府性基金预算财政拨款收入支出决算表》</w:t>
      </w:r>
    </w:p>
    <w:p w14:paraId="7F348B28">
      <w:pPr>
        <w:spacing w:line="240" w:lineRule="auto"/>
        <w:ind w:firstLine="640"/>
        <w:jc w:val="both"/>
      </w:pPr>
      <w:r>
        <w:rPr>
          <w:rFonts w:ascii="仿宋_GB2312" w:hAnsi="仿宋_GB2312" w:eastAsia="仿宋_GB2312"/>
          <w:b w:val="0"/>
          <w:sz w:val="32"/>
        </w:rPr>
        <w:t>八、《国有资本经营预算财政拨款收入支出决算表》</w:t>
      </w:r>
    </w:p>
    <w:p w14:paraId="56094DAA">
      <w:pPr>
        <w:spacing w:line="240" w:lineRule="auto"/>
        <w:ind w:firstLine="640"/>
        <w:jc w:val="both"/>
      </w:pPr>
      <w:r>
        <w:rPr>
          <w:rFonts w:ascii="仿宋_GB2312" w:hAnsi="仿宋_GB2312" w:eastAsia="仿宋_GB2312"/>
          <w:b w:val="0"/>
          <w:sz w:val="32"/>
        </w:rPr>
        <w:t>九、《财政拨款“三公”经费支出决算表》</w:t>
      </w:r>
    </w:p>
    <w:p w14:paraId="6C317EFE">
      <w:pPr>
        <w:spacing w:line="240" w:lineRule="auto"/>
        <w:ind w:firstLine="640"/>
        <w:jc w:val="both"/>
      </w:pPr>
    </w:p>
    <w:p w14:paraId="271C4EC6">
      <w:pPr>
        <w:spacing w:line="240" w:lineRule="auto"/>
        <w:ind w:firstLine="640"/>
        <w:jc w:val="both"/>
      </w:pPr>
    </w:p>
    <w:p w14:paraId="0A662704">
      <w:pPr>
        <w:spacing w:line="240" w:lineRule="auto"/>
        <w:ind w:firstLine="640"/>
        <w:jc w:val="both"/>
      </w:pPr>
    </w:p>
    <w:p w14:paraId="0B2E9415">
      <w:pPr>
        <w:spacing w:line="240" w:lineRule="auto"/>
        <w:ind w:firstLine="640"/>
        <w:jc w:val="both"/>
      </w:pPr>
    </w:p>
    <w:p w14:paraId="18AC5335">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55D43AE"/>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80E1437"/>
    <w:rsid w:val="795A0A34"/>
    <w:rsid w:val="79B537FA"/>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4329</Words>
  <Characters>5083</Characters>
  <Lines>0</Lines>
  <Paragraphs>0</Paragraphs>
  <TotalTime>7</TotalTime>
  <ScaleCrop>false</ScaleCrop>
  <LinksUpToDate>false</LinksUpToDate>
  <CharactersWithSpaces>5091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2025-08-28T09:41:25Z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