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82B99"/>
    <w:p w14:paraId="3267674A">
      <w:pPr>
        <w:spacing w:line="540" w:lineRule="exact"/>
        <w:jc w:val="center"/>
        <w:rPr>
          <w:rFonts w:hint="default" w:ascii="Times New Roman" w:hAnsi="Times New Roman" w:eastAsia="华文中宋" w:cs="Times New Roman"/>
          <w:b/>
          <w:kern w:val="0"/>
          <w:sz w:val="52"/>
          <w:szCs w:val="52"/>
        </w:rPr>
      </w:pPr>
    </w:p>
    <w:p w14:paraId="1F71A8F3">
      <w:pPr>
        <w:spacing w:line="540" w:lineRule="exact"/>
        <w:rPr>
          <w:rFonts w:hint="default" w:ascii="Times New Roman" w:hAnsi="Times New Roman" w:eastAsia="华文中宋" w:cs="Times New Roman"/>
          <w:b/>
          <w:kern w:val="0"/>
          <w:sz w:val="52"/>
          <w:szCs w:val="52"/>
        </w:rPr>
      </w:pPr>
    </w:p>
    <w:p w14:paraId="66453C65">
      <w:pPr>
        <w:spacing w:line="540" w:lineRule="exact"/>
        <w:jc w:val="center"/>
        <w:rPr>
          <w:rFonts w:hint="default" w:ascii="Times New Roman" w:hAnsi="Times New Roman" w:eastAsia="华文中宋" w:cs="Times New Roman"/>
          <w:b/>
          <w:kern w:val="0"/>
          <w:sz w:val="52"/>
          <w:szCs w:val="52"/>
        </w:rPr>
      </w:pPr>
    </w:p>
    <w:p w14:paraId="14E61A96">
      <w:pPr>
        <w:spacing w:line="540" w:lineRule="exact"/>
        <w:jc w:val="center"/>
        <w:rPr>
          <w:rFonts w:hint="default" w:ascii="Times New Roman" w:hAnsi="Times New Roman" w:eastAsia="华文中宋" w:cs="Times New Roman"/>
          <w:b/>
          <w:kern w:val="0"/>
          <w:sz w:val="52"/>
          <w:szCs w:val="52"/>
        </w:rPr>
      </w:pPr>
    </w:p>
    <w:p w14:paraId="44C90114">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2024年基层民政工作经办能力项目支出绩效评价报告</w:t>
      </w:r>
    </w:p>
    <w:p w14:paraId="191600D5">
      <w:pPr>
        <w:spacing w:line="540" w:lineRule="exact"/>
        <w:jc w:val="center"/>
        <w:rPr>
          <w:rFonts w:hint="default" w:ascii="Times New Roman" w:hAnsi="Times New Roman" w:eastAsia="华文中宋" w:cs="Times New Roman"/>
          <w:b/>
          <w:kern w:val="0"/>
          <w:sz w:val="52"/>
          <w:szCs w:val="52"/>
        </w:rPr>
      </w:pPr>
    </w:p>
    <w:p w14:paraId="24302133">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27568B5C">
      <w:pPr>
        <w:spacing w:line="540" w:lineRule="exact"/>
        <w:jc w:val="center"/>
        <w:rPr>
          <w:rFonts w:hint="default" w:ascii="Times New Roman" w:hAnsi="Times New Roman" w:eastAsia="仿宋_GB2312" w:cs="Times New Roman"/>
          <w:kern w:val="0"/>
          <w:sz w:val="32"/>
          <w:szCs w:val="32"/>
        </w:rPr>
      </w:pPr>
    </w:p>
    <w:p w14:paraId="65FD065B">
      <w:pPr>
        <w:spacing w:line="540" w:lineRule="exact"/>
        <w:jc w:val="center"/>
        <w:rPr>
          <w:rFonts w:hint="default" w:ascii="Times New Roman" w:hAnsi="Times New Roman" w:eastAsia="仿宋_GB2312" w:cs="Times New Roman"/>
          <w:kern w:val="0"/>
          <w:sz w:val="32"/>
          <w:szCs w:val="32"/>
        </w:rPr>
      </w:pPr>
    </w:p>
    <w:p w14:paraId="5CAD850C">
      <w:pPr>
        <w:spacing w:line="540" w:lineRule="exact"/>
        <w:jc w:val="center"/>
        <w:rPr>
          <w:rFonts w:hint="default" w:ascii="Times New Roman" w:hAnsi="Times New Roman" w:eastAsia="仿宋_GB2312" w:cs="Times New Roman"/>
          <w:kern w:val="0"/>
          <w:sz w:val="32"/>
          <w:szCs w:val="32"/>
        </w:rPr>
      </w:pPr>
    </w:p>
    <w:p w14:paraId="708417F9">
      <w:pPr>
        <w:spacing w:line="540" w:lineRule="exact"/>
        <w:jc w:val="both"/>
        <w:rPr>
          <w:rFonts w:hint="default" w:ascii="Times New Roman" w:hAnsi="Times New Roman" w:eastAsia="仿宋_GB2312" w:cs="Times New Roman"/>
          <w:kern w:val="0"/>
          <w:sz w:val="32"/>
          <w:szCs w:val="32"/>
        </w:rPr>
      </w:pPr>
    </w:p>
    <w:p w14:paraId="671D35E0">
      <w:pPr>
        <w:spacing w:line="540" w:lineRule="exact"/>
        <w:rPr>
          <w:rFonts w:hint="default" w:ascii="Times New Roman" w:hAnsi="Times New Roman" w:eastAsia="仿宋_GB2312" w:cs="Times New Roman"/>
          <w:kern w:val="0"/>
          <w:sz w:val="32"/>
          <w:szCs w:val="32"/>
        </w:rPr>
      </w:pPr>
    </w:p>
    <w:p w14:paraId="1D9B9286">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w:t>
      </w:r>
      <w:r>
        <w:rPr>
          <w:rFonts w:hint="default" w:ascii="Times New Roman" w:hAnsi="Times New Roman" w:eastAsia="仿宋_GB2312" w:cs="Times New Roman"/>
          <w:kern w:val="0"/>
          <w:sz w:val="32"/>
          <w:szCs w:val="32"/>
        </w:rPr>
        <w:t>基层民政工作经办能力</w:t>
      </w:r>
    </w:p>
    <w:p w14:paraId="075EAE20">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特克斯县民政局</w:t>
      </w:r>
    </w:p>
    <w:p w14:paraId="66C50394">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特克斯县民政局</w:t>
      </w:r>
    </w:p>
    <w:p w14:paraId="544413EE">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阿那匹亚</w:t>
      </w:r>
    </w:p>
    <w:p w14:paraId="58E66B18">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05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13</w:t>
      </w:r>
      <w:r>
        <w:rPr>
          <w:rFonts w:hint="default" w:ascii="Times New Roman" w:hAnsi="Times New Roman" w:eastAsia="仿宋_GB2312" w:cs="Times New Roman"/>
          <w:kern w:val="0"/>
          <w:sz w:val="32"/>
          <w:szCs w:val="32"/>
        </w:rPr>
        <w:t>日</w:t>
      </w:r>
    </w:p>
    <w:p w14:paraId="553C392A">
      <w:pPr>
        <w:spacing w:line="540" w:lineRule="exact"/>
        <w:jc w:val="center"/>
        <w:rPr>
          <w:rFonts w:hint="default" w:ascii="Times New Roman" w:hAnsi="Times New Roman" w:eastAsia="仿宋_GB2312" w:cs="Times New Roman"/>
          <w:kern w:val="0"/>
          <w:sz w:val="30"/>
          <w:szCs w:val="30"/>
        </w:rPr>
      </w:pPr>
    </w:p>
    <w:p w14:paraId="1D01ACE9">
      <w:pPr>
        <w:spacing w:line="540" w:lineRule="exact"/>
        <w:rPr>
          <w:rStyle w:val="15"/>
          <w:rFonts w:hint="default" w:ascii="Times New Roman" w:hAnsi="Times New Roman" w:eastAsia="黑体" w:cs="Times New Roman"/>
          <w:b w:val="0"/>
          <w:spacing w:val="-4"/>
          <w:sz w:val="32"/>
          <w:szCs w:val="32"/>
        </w:rPr>
      </w:pPr>
    </w:p>
    <w:p w14:paraId="25C55F9B">
      <w:pPr>
        <w:spacing w:line="540" w:lineRule="exact"/>
        <w:ind w:firstLine="640"/>
        <w:rPr>
          <w:rStyle w:val="15"/>
          <w:rFonts w:hint="default" w:ascii="Times New Roman" w:hAnsi="Times New Roman" w:eastAsia="黑体" w:cs="Times New Roman"/>
          <w:b w:val="0"/>
          <w:spacing w:val="-4"/>
          <w:sz w:val="32"/>
          <w:szCs w:val="32"/>
        </w:rPr>
      </w:pPr>
    </w:p>
    <w:p w14:paraId="5DA125D7">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24359F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5400773">
      <w:pPr>
        <w:spacing w:line="560" w:lineRule="exact"/>
        <w:ind w:firstLine="643" w:firstLineChars="200"/>
        <w:rPr>
          <w:rStyle w:val="15"/>
          <w:rFonts w:hint="default" w:ascii="Times New Roman" w:hAnsi="Times New Roman" w:eastAsia="黑体" w:cs="Times New Roman"/>
          <w:b w:val="0"/>
          <w:bCs/>
          <w:spacing w:val="-4"/>
          <w:sz w:val="32"/>
          <w:szCs w:val="32"/>
          <w:highlight w:val="yellow"/>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50CD9B4">
      <w:pPr>
        <w:pStyle w:val="10"/>
        <w:numPr>
          <w:ilvl w:val="0"/>
          <w:numId w:val="0"/>
        </w:numPr>
        <w:spacing w:before="0" w:after="0" w:line="560" w:lineRule="exact"/>
        <w:ind w:firstLine="640" w:firstLineChars="200"/>
        <w:jc w:val="both"/>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随着国家对民生保障的日益重视，出台了大量民政政策，如社会救助、养老服务、儿童福利等。这些政策需通过基层民政部门落实到群众中，提升基层民政工作经办能力是确保政策落地生根、惠及民生的关键。基层民政工作存在任务繁重、人手不足、工作人员专业素质参差不齐等问题。且部分地区工作流程不够规范，信息化水平低，影响工作效率和服务质量。提升经办能力是解决基层民政工作现实困境的需要。推进社会治理现代化，要求基层民政工作更加精细化、专业化、规范化。通过提升经办能力，可提高基层民政工作的科学性和精准性，更好发挥民政在社会治理中的基础作用，促进社会和谐稳定。</w:t>
      </w:r>
    </w:p>
    <w:p w14:paraId="08D5A577">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7C5A97FE">
      <w:pPr>
        <w:spacing w:line="560" w:lineRule="exact"/>
        <w:ind w:firstLine="600" w:firstLineChars="200"/>
        <w:rPr>
          <w:rFonts w:hint="default"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default" w:ascii="仿宋_GB2312" w:hAnsi="仿宋_GB2312" w:eastAsia="仿宋_GB2312" w:cs="仿宋_GB2312"/>
          <w:sz w:val="32"/>
          <w:szCs w:val="32"/>
          <w:highlight w:val="none"/>
          <w:lang w:val="en-US" w:eastAsia="zh-CN"/>
        </w:rPr>
        <w:t>通过政府购买社会救助事务性</w:t>
      </w:r>
      <w:r>
        <w:rPr>
          <w:rFonts w:hint="eastAsia" w:ascii="仿宋_GB2312" w:hAnsi="仿宋_GB2312" w:eastAsia="仿宋_GB2312" w:cs="仿宋_GB2312"/>
          <w:sz w:val="32"/>
          <w:szCs w:val="32"/>
          <w:highlight w:val="none"/>
          <w:lang w:val="en-US" w:eastAsia="zh-CN"/>
        </w:rPr>
        <w:t>服务</w:t>
      </w:r>
      <w:r>
        <w:rPr>
          <w:rFonts w:hint="default" w:ascii="仿宋_GB2312" w:hAnsi="仿宋_GB2312" w:eastAsia="仿宋_GB2312" w:cs="仿宋_GB2312"/>
          <w:sz w:val="32"/>
          <w:szCs w:val="32"/>
          <w:highlight w:val="none"/>
          <w:lang w:val="en-US" w:eastAsia="zh-CN"/>
        </w:rPr>
        <w:t>，加强对民政相关政策法规的宣传，通过多种渠道做好最低生活保障、特困人员救助供养、低保边缘家庭、支出困难家庭、孤儿、临时救助等服务的对象排查、家计调查、业务培训、政策宣传等社会救助事务性工作，确保各项民政政策在基层准确及时地落实，指导基层工作人员严格按照政策规定开展工作，做到应保尽保、应救尽救。</w:t>
      </w:r>
    </w:p>
    <w:p w14:paraId="34206E94">
      <w:pPr>
        <w:ind w:firstLine="640" w:firstLineChars="200"/>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rPr>
        <w:t>项目实施情况：</w:t>
      </w:r>
      <w:r>
        <w:rPr>
          <w:rFonts w:hint="eastAsia" w:ascii="仿宋_GB2312" w:hAnsi="仿宋_GB2312" w:eastAsia="仿宋_GB2312" w:cs="仿宋_GB2312"/>
          <w:sz w:val="32"/>
          <w:szCs w:val="32"/>
          <w:highlight w:val="none"/>
          <w:lang w:val="en-US" w:eastAsia="zh-CN"/>
        </w:rPr>
        <w:t>为全面提升基层社会救助水平，加强基层社会救助力量，根据自治区民政厅《关于积极推行政府购买服务加强基层社会救助经办服务能力的实施意见》（新民发{2018}86号）、和自治州《关于印发，&lt;推行政府购买服务，加强基层社会救助经办服务能力的实施方案&gt;》（伊州民发{2019}36号）的要求，基层民政协理员经费保障按照总额度不超过当年筹集的社会救助资金总和的3%来计算，每名协理员工资待遇暂定为3700元/月（含五险），保障基层民政工作正常有序进行。通过社会组织打卡发放，发放准确率达到100%，做到每月25日之前及时发放到位，发放及时性达到100%。</w:t>
      </w:r>
    </w:p>
    <w:p w14:paraId="0ECFD9D4">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463EE2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6EE21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123.77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123.77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79C4D3F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6C281A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123.77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123.77</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123.77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保障基层民政工作正常有序进行，政府购买基层民政服务报酬及社保。</w:t>
      </w:r>
    </w:p>
    <w:p w14:paraId="0375D3C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5FF19D6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58FFE25">
      <w:pPr>
        <w:ind w:firstLine="640" w:firstLineChars="20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通过政府购买社会救助事务性服务，支持各县市、乡镇（街道）做好最低生活保障、特困人员救助供养、低保边缘家庭、支出困难家庭、孤儿、临时救助等服务的对象排查、家计调查、业务培训、政策宣传等社会救助事务性工作，做到符合救助人员应保尽保、应救尽救。</w:t>
      </w:r>
    </w:p>
    <w:p w14:paraId="3CB3B2D6">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6FAD0BBE">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4年度上半年</w:t>
      </w:r>
      <w:r>
        <w:rPr>
          <w:rFonts w:hint="eastAsia" w:ascii="仿宋_GB2312" w:hAnsi="仿宋_GB2312" w:eastAsia="仿宋_GB2312" w:cs="仿宋_GB2312"/>
          <w:sz w:val="32"/>
          <w:szCs w:val="32"/>
          <w:highlight w:val="none"/>
          <w:lang w:val="en-US" w:eastAsia="zh-CN"/>
        </w:rPr>
        <w:t>基层民政协理员经费保障按照总额度不超过当年筹集的社会救助资金总和的3%来计算，每名协理员工资待遇暂定为3700元/月（含五险），政府购买基层民政服务报酬及社保发放如下,平均32名协理员发放6次61.885万元。</w:t>
      </w:r>
    </w:p>
    <w:p w14:paraId="027E1685">
      <w:pPr>
        <w:spacing w:line="560" w:lineRule="exact"/>
        <w:ind w:firstLine="640" w:firstLineChars="200"/>
        <w:rPr>
          <w:rFonts w:hint="eastAsia"/>
          <w:lang w:val="en-US" w:eastAsia="zh-CN"/>
        </w:rPr>
      </w:pPr>
      <w:r>
        <w:rPr>
          <w:rFonts w:hint="eastAsia" w:ascii="仿宋_GB2312" w:hAnsi="仿宋_GB2312" w:eastAsia="仿宋_GB2312" w:cs="仿宋_GB2312"/>
          <w:kern w:val="2"/>
          <w:sz w:val="32"/>
          <w:szCs w:val="32"/>
        </w:rPr>
        <w:t>202</w:t>
      </w:r>
      <w:r>
        <w:rPr>
          <w:rFonts w:hint="eastAsia" w:ascii="仿宋_GB2312" w:hAnsi="仿宋_GB2312" w:eastAsia="仿宋_GB2312" w:cs="仿宋_GB2312"/>
          <w:kern w:val="2"/>
          <w:sz w:val="32"/>
          <w:szCs w:val="32"/>
          <w:lang w:val="en-US" w:eastAsia="zh-CN"/>
        </w:rPr>
        <w:t>4年度下半年</w:t>
      </w:r>
      <w:r>
        <w:rPr>
          <w:rFonts w:hint="eastAsia" w:ascii="仿宋_GB2312" w:hAnsi="仿宋_GB2312" w:eastAsia="仿宋_GB2312" w:cs="仿宋_GB2312"/>
          <w:sz w:val="32"/>
          <w:szCs w:val="32"/>
          <w:highlight w:val="none"/>
          <w:lang w:val="en-US" w:eastAsia="zh-CN"/>
        </w:rPr>
        <w:t>基层民政协理员经费保障按照总额度不超过当年筹集的社会救助资金总和的3%来计算，每名协理员工资待遇暂定为3700元/月（含五险），政府购买基层民政服务报酬及社保发放如下,平均32名协理员发放6次61.885万元。</w:t>
      </w:r>
    </w:p>
    <w:p w14:paraId="5D93631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A0DABE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7344A0E1">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1.绩效评价完整性</w:t>
      </w:r>
    </w:p>
    <w:p w14:paraId="23E7948C">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03D8C8F">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1425D5ED">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FB98EC4">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2496096">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26605D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9F921C3">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（1）评估项目实施效果</w:t>
      </w:r>
    </w:p>
    <w:p w14:paraId="64471D61">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通过对项目预算执行情况及各项绩效目标达成程度的系统性分析，全面、客观地评估项目在预定周期内的实施效果，包括社会效益维度指标，为项目后续的改进与优化提供科学依据。</w:t>
      </w:r>
    </w:p>
    <w:p w14:paraId="3E138FDD">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（2）提升资源利用效率</w:t>
      </w:r>
    </w:p>
    <w:p w14:paraId="5D0B4473">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AE8E878">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（3）强化项目管理责任</w:t>
      </w:r>
    </w:p>
    <w:p w14:paraId="48972994">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5BE33CB">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（4）为决策提供支持</w:t>
      </w:r>
    </w:p>
    <w:p w14:paraId="3FCB4CF2">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DCBE689">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（5）促进项目持续改进</w:t>
      </w:r>
    </w:p>
    <w:p w14:paraId="459509A1">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C5D7513">
      <w:pPr>
        <w:spacing w:line="560" w:lineRule="exact"/>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45CA4A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B68E82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仿宋_GB2312" w:hAnsi="仿宋_GB2312" w:eastAsia="仿宋_GB2312" w:cs="仿宋_GB2312"/>
          <w:b w:val="0"/>
          <w:bCs w:val="0"/>
          <w:kern w:val="2"/>
          <w:sz w:val="32"/>
          <w:szCs w:val="32"/>
          <w:highlight w:val="none"/>
          <w:lang w:val="en-US" w:eastAsia="zh-CN" w:bidi="ar-SA"/>
        </w:rPr>
        <w:t>本项目预算绩效评价报告的评价对象是2024年基层民政工作经办能力及其预算执行情况。该项目由</w:t>
      </w:r>
      <w:r>
        <w:rPr>
          <w:rFonts w:hint="eastAsia" w:ascii="仿宋_GB2312" w:hAnsi="仿宋_GB2312" w:eastAsia="仿宋_GB2312" w:cs="仿宋_GB2312"/>
          <w:b w:val="0"/>
          <w:bCs w:val="0"/>
          <w:kern w:val="2"/>
          <w:sz w:val="32"/>
          <w:szCs w:val="32"/>
          <w:highlight w:val="none"/>
          <w:lang w:val="en-US" w:eastAsia="zh-CN" w:bidi="ar-SA"/>
        </w:rPr>
        <w:t>特克斯县民政局</w:t>
      </w:r>
      <w:r>
        <w:rPr>
          <w:rFonts w:hint="default" w:ascii="仿宋_GB2312" w:hAnsi="仿宋_GB2312" w:eastAsia="仿宋_GB2312" w:cs="仿宋_GB2312"/>
          <w:b w:val="0"/>
          <w:bCs w:val="0"/>
          <w:kern w:val="2"/>
          <w:sz w:val="32"/>
          <w:szCs w:val="32"/>
          <w:highlight w:val="none"/>
          <w:lang w:val="en-US" w:eastAsia="zh-CN" w:bidi="ar-SA"/>
        </w:rPr>
        <w:t>负责实施，旨在强化基层民政工作人员专业培训，涵盖政策法规、沟通技巧、应急处理等内容，使其熟练掌握业务知识，提升服务规范性与精准度。确保政策执行不走样，服务对象满意度达9</w:t>
      </w:r>
      <w:r>
        <w:rPr>
          <w:rFonts w:hint="eastAsia" w:ascii="仿宋_GB2312" w:hAnsi="仿宋_GB2312" w:eastAsia="仿宋_GB2312" w:cs="仿宋_GB2312"/>
          <w:b w:val="0"/>
          <w:bCs w:val="0"/>
          <w:kern w:val="2"/>
          <w:sz w:val="32"/>
          <w:szCs w:val="32"/>
          <w:highlight w:val="none"/>
          <w:lang w:val="en-US" w:eastAsia="zh-CN" w:bidi="ar-SA"/>
        </w:rPr>
        <w:t>5</w:t>
      </w:r>
      <w:r>
        <w:rPr>
          <w:rFonts w:hint="default" w:ascii="仿宋_GB2312" w:hAnsi="仿宋_GB2312" w:eastAsia="仿宋_GB2312" w:cs="仿宋_GB2312"/>
          <w:b w:val="0"/>
          <w:bCs w:val="0"/>
          <w:kern w:val="2"/>
          <w:sz w:val="32"/>
          <w:szCs w:val="32"/>
          <w:highlight w:val="none"/>
          <w:lang w:val="en-US" w:eastAsia="zh-CN" w:bidi="ar-SA"/>
        </w:rPr>
        <w:t>%以上</w:t>
      </w:r>
      <w:r>
        <w:rPr>
          <w:rFonts w:hint="eastAsia" w:ascii="仿宋_GB2312" w:hAnsi="仿宋_GB2312" w:eastAsia="仿宋_GB2312" w:cs="仿宋_GB2312"/>
          <w:b w:val="0"/>
          <w:bCs w:val="0"/>
          <w:kern w:val="2"/>
          <w:sz w:val="32"/>
          <w:szCs w:val="32"/>
          <w:highlight w:val="none"/>
          <w:lang w:val="en-US" w:eastAsia="zh-CN" w:bidi="ar-SA"/>
        </w:rPr>
        <w:t>,加强民政部门与其他部门、社会组织、企业的协作，整合资源，形成服务合力。</w:t>
      </w:r>
      <w:r>
        <w:rPr>
          <w:rFonts w:hint="default" w:ascii="仿宋_GB2312" w:hAnsi="仿宋_GB2312" w:eastAsia="仿宋_GB2312" w:cs="仿宋_GB2312"/>
          <w:b w:val="0"/>
          <w:bCs w:val="0"/>
          <w:kern w:val="2"/>
          <w:sz w:val="32"/>
          <w:szCs w:val="32"/>
          <w:highlight w:val="none"/>
          <w:lang w:val="en-US" w:eastAsia="zh-CN" w:bidi="ar-SA"/>
        </w:rPr>
        <w:t>项目预算涵盖从</w:t>
      </w:r>
      <w:r>
        <w:rPr>
          <w:rFonts w:hint="eastAsia" w:ascii="仿宋_GB2312" w:hAnsi="仿宋_GB2312" w:eastAsia="仿宋_GB2312" w:cs="仿宋_GB2312"/>
          <w:b w:val="0"/>
          <w:bCs w:val="0"/>
          <w:kern w:val="2"/>
          <w:sz w:val="32"/>
          <w:szCs w:val="32"/>
          <w:highlight w:val="none"/>
          <w:lang w:val="en-US" w:eastAsia="zh-CN" w:bidi="ar-SA"/>
        </w:rPr>
        <w:t>2024年1月</w:t>
      </w:r>
      <w:r>
        <w:rPr>
          <w:rFonts w:hint="default" w:ascii="仿宋_GB2312" w:hAnsi="仿宋_GB2312" w:eastAsia="仿宋_GB2312" w:cs="仿宋_GB2312"/>
          <w:b w:val="0"/>
          <w:bCs w:val="0"/>
          <w:kern w:val="2"/>
          <w:sz w:val="32"/>
          <w:szCs w:val="32"/>
          <w:highlight w:val="none"/>
          <w:lang w:val="en-US" w:eastAsia="zh-CN" w:bidi="ar-SA"/>
        </w:rPr>
        <w:t>至</w:t>
      </w:r>
      <w:r>
        <w:rPr>
          <w:rFonts w:hint="eastAsia" w:ascii="仿宋_GB2312" w:hAnsi="仿宋_GB2312" w:eastAsia="仿宋_GB2312" w:cs="仿宋_GB2312"/>
          <w:b w:val="0"/>
          <w:bCs w:val="0"/>
          <w:kern w:val="2"/>
          <w:sz w:val="32"/>
          <w:szCs w:val="32"/>
          <w:highlight w:val="none"/>
          <w:lang w:val="en-US" w:eastAsia="zh-CN" w:bidi="ar-SA"/>
        </w:rPr>
        <w:t>2024年12月</w:t>
      </w:r>
      <w:r>
        <w:rPr>
          <w:rFonts w:hint="default" w:ascii="仿宋_GB2312" w:hAnsi="仿宋_GB2312" w:eastAsia="仿宋_GB2312" w:cs="仿宋_GB2312"/>
          <w:b w:val="0"/>
          <w:bCs w:val="0"/>
          <w:kern w:val="2"/>
          <w:sz w:val="32"/>
          <w:szCs w:val="32"/>
          <w:highlight w:val="none"/>
          <w:lang w:val="en-US" w:eastAsia="zh-CN" w:bidi="ar-SA"/>
        </w:rPr>
        <w:t>的全部资金投入与支出，涉及资金总额为</w:t>
      </w:r>
      <w:r>
        <w:rPr>
          <w:rFonts w:hint="eastAsia" w:ascii="仿宋_GB2312" w:hAnsi="仿宋_GB2312" w:eastAsia="仿宋_GB2312" w:cs="仿宋_GB2312"/>
          <w:b w:val="0"/>
          <w:bCs w:val="0"/>
          <w:kern w:val="2"/>
          <w:sz w:val="32"/>
          <w:szCs w:val="32"/>
          <w:highlight w:val="none"/>
          <w:lang w:val="en-US" w:eastAsia="zh-CN" w:bidi="ar-SA"/>
        </w:rPr>
        <w:t>123.77</w:t>
      </w:r>
      <w:r>
        <w:rPr>
          <w:rFonts w:hint="default" w:ascii="仿宋_GB2312" w:hAnsi="仿宋_GB2312" w:eastAsia="仿宋_GB2312" w:cs="仿宋_GB2312"/>
          <w:b w:val="0"/>
          <w:bCs w:val="0"/>
          <w:kern w:val="2"/>
          <w:sz w:val="32"/>
          <w:szCs w:val="32"/>
          <w:highlight w:val="none"/>
          <w:lang w:val="en-US" w:eastAsia="zh-CN" w:bidi="ar-SA"/>
        </w:rPr>
        <w:t>万元。</w:t>
      </w:r>
    </w:p>
    <w:p w14:paraId="6A9031E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5C54E765">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本项目预算绩效评价报告的评价范围广泛而全面，涵盖了从项目立项至评价时点期间的所有关键预算活动和财务流程。具体而言，评价范围包括但不限于以下几个方面：</w:t>
      </w:r>
    </w:p>
    <w:p w14:paraId="5AFAF099">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项目预算编制与执行：全面审视项目预算的编制依据、合理性、科学性以及实际执行情况，包括预算调整的原因和效果。</w:t>
      </w:r>
    </w:p>
    <w:p w14:paraId="4EDF1B38">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资金管理：深入分析项目资金的分配、使用和监管情况，确保资金使用的合规性、高效性和透明度。</w:t>
      </w:r>
    </w:p>
    <w:p w14:paraId="7ECF77D4">
      <w:pPr>
        <w:pStyle w:val="10"/>
        <w:widowControl w:val="0"/>
        <w:spacing w:before="0" w:after="0" w:line="560" w:lineRule="exact"/>
        <w:ind w:firstLine="640" w:firstLineChars="200"/>
        <w:jc w:val="both"/>
        <w:outlineLvl w:val="9"/>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项目实施进度与产出：评估项目是否按照既定计划顺利推进，各项任务是否按时完成，以及项目产出的数量、质量和时效性是否符合预期。</w:t>
      </w:r>
    </w:p>
    <w:p w14:paraId="660B2C1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default" w:ascii="仿宋_GB2312" w:hAnsi="仿宋_GB2312" w:eastAsia="仿宋_GB2312" w:cs="仿宋_GB2312"/>
          <w:b w:val="0"/>
          <w:bCs w:val="0"/>
          <w:kern w:val="2"/>
          <w:sz w:val="32"/>
          <w:szCs w:val="32"/>
          <w:highlight w:val="none"/>
          <w:lang w:val="en-US" w:eastAsia="zh-CN" w:bidi="ar-SA"/>
        </w:rPr>
        <w:t>社会、</w:t>
      </w:r>
      <w:r>
        <w:rPr>
          <w:rFonts w:hint="eastAsia" w:ascii="仿宋_GB2312" w:hAnsi="仿宋_GB2312" w:eastAsia="仿宋_GB2312" w:cs="仿宋_GB2312"/>
          <w:b w:val="0"/>
          <w:bCs w:val="0"/>
          <w:kern w:val="2"/>
          <w:sz w:val="32"/>
          <w:szCs w:val="32"/>
          <w:highlight w:val="none"/>
          <w:lang w:val="en-US" w:eastAsia="zh-CN" w:bidi="ar-SA"/>
        </w:rPr>
        <w:t>生态</w:t>
      </w:r>
      <w:r>
        <w:rPr>
          <w:rFonts w:hint="default" w:ascii="仿宋_GB2312" w:hAnsi="仿宋_GB2312" w:eastAsia="仿宋_GB2312" w:cs="仿宋_GB2312"/>
          <w:b w:val="0"/>
          <w:bCs w:val="0"/>
          <w:kern w:val="2"/>
          <w:sz w:val="32"/>
          <w:szCs w:val="32"/>
          <w:highlight w:val="none"/>
          <w:lang w:val="en-US" w:eastAsia="zh-CN" w:bidi="ar-SA"/>
        </w:rPr>
        <w:t>等影响：考察项目对社会综合影响。</w:t>
      </w:r>
    </w:p>
    <w:p w14:paraId="6BC64781">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5D25505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3234E416">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2A717D8C">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E2A1C60">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2736BD11">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7D3A462">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456DC3B">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71184F16">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6ED8697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590D842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E34FD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5F111D03">
      <w:pPr>
        <w:spacing w:line="560" w:lineRule="exact"/>
        <w:ind w:firstLine="708" w:firstLineChars="200"/>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确定各个指标相对于项目总体绩效的权重分值。在绩效评价指标体系中，项目产出权重为</w:t>
      </w:r>
      <w:r>
        <w:rPr>
          <w:rFonts w:hint="eastAsia" w:ascii="Times New Roman" w:hAnsi="Times New Roman" w:eastAsia="仿宋_GB2312" w:cs="Times New Roman"/>
          <w:color w:val="000000"/>
          <w:spacing w:val="17"/>
          <w:sz w:val="32"/>
          <w:szCs w:val="32"/>
          <w:lang w:val="en-US" w:eastAsia="zh-CN"/>
        </w:rPr>
        <w:t>40</w:t>
      </w:r>
      <w:r>
        <w:rPr>
          <w:rFonts w:hint="default" w:ascii="Times New Roman" w:hAnsi="Times New Roman" w:eastAsia="仿宋_GB2312" w:cs="Times New Roman"/>
          <w:color w:val="000000"/>
          <w:spacing w:val="17"/>
          <w:sz w:val="32"/>
          <w:szCs w:val="32"/>
        </w:rPr>
        <w:t>分，项目成本权重为20分，项目效益权重为</w:t>
      </w:r>
      <w:r>
        <w:rPr>
          <w:rFonts w:hint="eastAsia" w:ascii="Times New Roman" w:hAnsi="Times New Roman" w:eastAsia="仿宋_GB2312"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分，项目满意度权重为</w:t>
      </w:r>
      <w:r>
        <w:rPr>
          <w:rFonts w:hint="eastAsia" w:ascii="Times New Roman" w:hAnsi="Times New Roman" w:eastAsia="仿宋_GB2312" w:cs="Times New Roman"/>
          <w:color w:val="000000"/>
          <w:spacing w:val="17"/>
          <w:sz w:val="32"/>
          <w:szCs w:val="32"/>
          <w:lang w:val="en-US" w:eastAsia="zh-CN"/>
        </w:rPr>
        <w:t>10</w:t>
      </w:r>
      <w:r>
        <w:rPr>
          <w:rFonts w:hint="default" w:ascii="Times New Roman" w:hAnsi="Times New Roman" w:eastAsia="仿宋_GB2312" w:cs="Times New Roman"/>
          <w:color w:val="000000"/>
          <w:spacing w:val="17"/>
          <w:sz w:val="32"/>
          <w:szCs w:val="32"/>
        </w:rPr>
        <w:t>分。</w:t>
      </w:r>
    </w:p>
    <w:p w14:paraId="6411EA4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3733DA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E03C793">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540F203D">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794F621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3681CB3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AA33D0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8C574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w:t>
      </w:r>
      <w:r>
        <w:rPr>
          <w:rFonts w:hint="eastAsia" w:ascii="Times New Roman" w:hAnsi="Times New Roman" w:eastAsia="仿宋_GB2312" w:cs="Times New Roman"/>
          <w:color w:val="000000"/>
          <w:spacing w:val="17"/>
          <w:sz w:val="32"/>
          <w:szCs w:val="32"/>
          <w:lang w:eastAsia="zh-CN"/>
        </w:rPr>
        <w:t>一</w:t>
      </w:r>
      <w:r>
        <w:rPr>
          <w:rFonts w:hint="default" w:ascii="Times New Roman" w:hAnsi="Times New Roman" w:eastAsia="仿宋_GB2312" w:cs="Times New Roman"/>
          <w:color w:val="000000"/>
          <w:spacing w:val="17"/>
          <w:sz w:val="32"/>
          <w:szCs w:val="32"/>
        </w:rPr>
        <w:t>）因素分析法。是指综合分析影响绩效目标实现、实施效果的内外部因素的方法。因素分析法可帮助全面梳理影响基层民政能力提升的各种因素，涵盖人员素质、资金投入、基础设施建设、政策执行水平、信息化程度等多个方面。通过这种方式，能够清晰地了解到基层民政工作在哪些环节存在优势，哪些环节还需要改进，为精准施策提供依据。</w:t>
      </w:r>
    </w:p>
    <w:p w14:paraId="78A3FBE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5722E761">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5C3F8B5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计划标准能够为项目实施设定清晰、具体的目标，让基层民政工作人员清楚知道工作要达到的预期成果，如在社会救助方面，明确规定一定时期内要将救助覆盖率提高到多少，这样有利于引导工作方向，避免盲目开展工作。</w:t>
      </w:r>
    </w:p>
    <w:p w14:paraId="661547D9">
      <w:pPr>
        <w:pStyle w:val="10"/>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8B6C1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447DD1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C102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79AD3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657F2B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3F62AD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A9A59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22B7B4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9ADF6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342DCE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E2EA0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703A07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4D9CDE8">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A411F11">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5645DC9B">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2024年基层民政工作经办能力项目在加强民政部门与其他部门、社会组织、企业的协作，整合资源，形成服务合力。等方面表现出色，达到了预期的标准与要求。同时，项目也在实现精准识别服务对象需求、智能匹配资源，推动民政服务从被动响应向主动服务转变。取得了显著的成效，如服务效能提升、服务质量优化等。</w:t>
      </w:r>
    </w:p>
    <w:p w14:paraId="68259AC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特克斯县民政局</w:t>
      </w:r>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14:paraId="7E1C8447">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从项目效益的角度来看，本项目不仅实现了预期的社会效益等方面产生了积极的影响。具体而言，保障基层民政工作正常有序进行等方面的提升，为项目的利益相关者带来了实实在在的利益。</w:t>
      </w:r>
    </w:p>
    <w:p w14:paraId="6D1917DD">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综上所述，2024年基层民政工作经办能力项目在绩效评价中表现出色，达到了项目的预期目标，并在多个方面取得了显著的成效。</w:t>
      </w:r>
    </w:p>
    <w:p w14:paraId="742696BC">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57F63C2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kern w:val="28"/>
          <w:sz w:val="32"/>
          <w:szCs w:val="32"/>
          <w:lang w:val="en-US" w:eastAsia="zh-CN" w:bidi="ar-SA"/>
        </w:rPr>
        <w:t xml:space="preserve">总得分为 </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分，属于“优。其中，项目决策类指标权重为20分，得分为</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%。项目过程类指标权重为20分，得分为</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%。项目产出类指标权重为40分，得分为</w:t>
      </w:r>
      <w:r>
        <w:rPr>
          <w:rFonts w:hint="eastAsia" w:ascii="Times New Roman" w:hAnsi="Times New Roman" w:eastAsia="仿宋_GB2312" w:cs="Times New Roman"/>
          <w:b w:val="0"/>
          <w:bCs w:val="0"/>
          <w:kern w:val="28"/>
          <w:sz w:val="32"/>
          <w:szCs w:val="32"/>
          <w:lang w:val="en-US" w:eastAsia="zh-CN" w:bidi="ar-SA"/>
        </w:rPr>
        <w:t>40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%。项目效益类指标权重为20分，得分为</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14:paraId="1F72E245">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3A67F4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219023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D67E9D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4D74D7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5815B6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D9CE4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5F465A7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A27C9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5D3EE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8A11E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1C9736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A52D65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15FA29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F7A84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38B525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5F2746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76CEC0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A8955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48A3C8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B9B34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C70A0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19B6C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FA74BCA">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3B90A1C">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613A49FD">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AA7093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045AA19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B28ADB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247E53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45C47D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4180EE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40E3DE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93919B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B3B36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900CEB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02E7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79ED7E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83D52D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113F1A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DAB51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9E0E0F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9B590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89495F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EDFE58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AE2573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A543B75">
      <w:pPr>
        <w:pStyle w:val="10"/>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014BE1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0C64C42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198391E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49B40D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123.77</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55B210F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08D792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123.77</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1EB05D3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F56AC9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49C9817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77827A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99209B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20A7CCE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3AF7FE7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F2E18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14E4E15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894E0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401D4F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CA222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4AE86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52F4B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15487FBA">
      <w:pPr>
        <w:pStyle w:val="11"/>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C2E4C5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230A986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29F7DD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指标1：政府购买基层民政服务人数</w:t>
      </w:r>
      <w:r>
        <w:rPr>
          <w:rFonts w:hint="eastAsia" w:eastAsia="仿宋_GB2312" w:cs="Times New Roman"/>
          <w:sz w:val="32"/>
          <w:szCs w:val="32"/>
          <w:highlight w:val="none"/>
          <w:lang w:eastAsia="zh-CN"/>
        </w:rPr>
        <w:t>、政府购买基层民政服务报酬及社保发放次数</w:t>
      </w:r>
      <w:r>
        <w:rPr>
          <w:rFonts w:hint="default" w:ascii="Times New Roman" w:hAnsi="Times New Roman" w:eastAsia="仿宋_GB2312" w:cs="Times New Roman"/>
          <w:sz w:val="32"/>
          <w:szCs w:val="32"/>
          <w:highlight w:val="none"/>
        </w:rPr>
        <w:t>，指标值：&gt;=32人</w:t>
      </w:r>
      <w:r>
        <w:rPr>
          <w:rFonts w:hint="eastAsia" w:eastAsia="仿宋_GB2312" w:cs="Times New Roman"/>
          <w:sz w:val="32"/>
          <w:szCs w:val="32"/>
          <w:highlight w:val="none"/>
          <w:lang w:eastAsia="zh-CN"/>
        </w:rPr>
        <w:t>、=13次</w:t>
      </w:r>
      <w:r>
        <w:rPr>
          <w:rFonts w:hint="default" w:ascii="Times New Roman" w:hAnsi="Times New Roman" w:eastAsia="仿宋_GB2312" w:cs="Times New Roman"/>
          <w:sz w:val="32"/>
          <w:szCs w:val="32"/>
          <w:highlight w:val="none"/>
        </w:rPr>
        <w:t xml:space="preserve"> ，实际完成值：32人</w:t>
      </w:r>
      <w:r>
        <w:rPr>
          <w:rFonts w:hint="eastAsia" w:eastAsia="仿宋_GB2312" w:cs="Times New Roman"/>
          <w:sz w:val="32"/>
          <w:szCs w:val="32"/>
          <w:highlight w:val="none"/>
          <w:lang w:eastAsia="zh-CN"/>
        </w:rPr>
        <w:t>、13次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EA60AD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25AA18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指标1：政府购买基层民政服务报酬发放准确率，指标值：=100% ，实际完成值：100%人，指标完成率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018BC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8FD5C54">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指标1：政府购买基层民政服务报酬发放及时性，指标值：=100% ，实际完成值：100%人，指标完成率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 xml:space="preserve"> </w:t>
      </w:r>
    </w:p>
    <w:p w14:paraId="2AA863B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9E88D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指标1：政府购买基层民政服务报酬标准，指标值：&lt;=2975元/月，实际完成值</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2975元/月，指标完成率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EA03B62">
      <w:pPr>
        <w:pStyle w:val="11"/>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2B8422A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分，实际得分</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7BA0812A">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B3994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7EFEA66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指标1：保障基层民政工作正常有序进行，指标值：有效保障，实际完成值</w:t>
      </w:r>
      <w:r>
        <w:rPr>
          <w:rFonts w:hint="eastAsia" w:eastAsia="仿宋_GB2312" w:cs="Times New Roman"/>
          <w:sz w:val="32"/>
          <w:szCs w:val="32"/>
          <w:highlight w:val="none"/>
          <w:lang w:eastAsia="zh-CN"/>
        </w:rPr>
        <w:t>：有效保障</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C492E4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2.满意度指标</w:t>
      </w:r>
    </w:p>
    <w:p w14:paraId="1010EFB2">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指标1：服务对象满意度，指标值：&gt;=95%，实际完成值</w:t>
      </w:r>
      <w:r>
        <w:rPr>
          <w:rFonts w:hint="eastAsia" w:eastAsia="仿宋_GB2312" w:cs="Times New Roman"/>
          <w:sz w:val="32"/>
          <w:szCs w:val="32"/>
          <w:highlight w:val="none"/>
          <w:lang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p>
    <w:p w14:paraId="767D3B63">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57423E59">
      <w:pPr>
        <w:pStyle w:val="20"/>
        <w:spacing w:line="560" w:lineRule="exact"/>
        <w:ind w:firstLine="64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2024年基层民政工作经办能力项目年初预算</w:t>
      </w:r>
      <w:r>
        <w:rPr>
          <w:rFonts w:hint="eastAsia" w:ascii="Times New Roman" w:hAnsi="Times New Roman" w:eastAsia="仿宋_GB2312" w:cs="Times New Roman"/>
          <w:kern w:val="2"/>
          <w:sz w:val="32"/>
          <w:szCs w:val="32"/>
          <w:highlight w:val="none"/>
          <w:lang w:val="en-US" w:eastAsia="zh-CN" w:bidi="ar-SA"/>
        </w:rPr>
        <w:t>123.77</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123.77</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123.77</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14:paraId="74FD6281">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9C06B89">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213BB6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C61E30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强化培训体系：定期开展业务培训，内容涵盖社会救助、养老服务、婚姻登记等政策法规与实操技巧。邀请专家授课，结合案例分析、模拟演练提升经办人员理解与执行能力。例如针对新出台的救助政策开展专项培训，让经办人员迅速掌握要点。</w:t>
      </w:r>
    </w:p>
    <w:p w14:paraId="2547F91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信息化建设推进：搭建基层民政信息管理系统，整合各类民政业务数据，实现信息共享与业务协同办理。如在社会救助申请审批中，通过系统快速核查申请人家庭经济状况，提高工作效率与准确性。</w:t>
      </w:r>
    </w:p>
    <w:p w14:paraId="0C68A97D">
      <w:pPr>
        <w:keepNext/>
        <w:keepLines/>
        <w:numPr>
          <w:ilvl w:val="0"/>
          <w:numId w:val="4"/>
        </w:numPr>
        <w:spacing w:line="560" w:lineRule="exact"/>
        <w:ind w:firstLine="643" w:firstLineChars="200"/>
        <w:rPr>
          <w:rFonts w:hint="default"/>
        </w:rPr>
      </w:pPr>
      <w:r>
        <w:rPr>
          <w:rFonts w:hint="default" w:ascii="Times New Roman" w:hAnsi="Times New Roman" w:eastAsia="楷体_GB2312" w:cs="Times New Roman"/>
          <w:b/>
          <w:bCs/>
          <w:sz w:val="32"/>
          <w:szCs w:val="32"/>
        </w:rPr>
        <w:t>存在的问题及原因分析</w:t>
      </w:r>
    </w:p>
    <w:p w14:paraId="72FCA373">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人员配备不足：基层民政业务繁重，工作人员数量有限，常一人多岗，导致工作精力分散，服务质量难以保障。</w:t>
      </w:r>
    </w:p>
    <w:p w14:paraId="63265624">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培训缺乏针对性：培训内容未能充分结合基层实际工作场景，形式单一，缺乏互动与实践环节，培训效果不佳，经办人员难以将所学应用于</w:t>
      </w:r>
      <w:bookmarkStart w:id="1" w:name="_GoBack"/>
      <w:bookmarkEnd w:id="1"/>
      <w:r>
        <w:rPr>
          <w:rFonts w:hint="default" w:ascii="Times New Roman" w:hAnsi="Times New Roman" w:eastAsia="仿宋_GB2312" w:cs="Times New Roman"/>
          <w:sz w:val="32"/>
          <w:szCs w:val="32"/>
        </w:rPr>
        <w:t>实际。</w:t>
      </w:r>
    </w:p>
    <w:p w14:paraId="0CD9F54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38FCA351">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 xml:space="preserve">精准规划人力资源：根据业务量和服务人口，科学核定人员编制，通过公开招聘、政府购买服务等方式充实基层民政队伍，合理分配岗位。 </w:t>
      </w:r>
    </w:p>
    <w:p w14:paraId="614C5750">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定制化培训设计：在培训前开展需求调研，了解基层工作难点与经办人员知识短板，设计更具针对性、实用性的课程，丰富培训形式，如增加实地观摩、小组讨论等。</w:t>
      </w:r>
    </w:p>
    <w:p w14:paraId="750CFA57">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AB8B776">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61D95905">
      <w:pPr>
        <w:pStyle w:val="2"/>
        <w:tabs>
          <w:tab w:val="left" w:pos="11557"/>
        </w:tabs>
        <w:ind w:left="0" w:leftChars="0" w:firstLine="0" w:firstLineChars="0"/>
        <w:rPr>
          <w:rFonts w:hint="default" w:ascii="Times New Roman" w:hAnsi="Times New Roman" w:cs="Times New Roman"/>
        </w:rPr>
      </w:pPr>
      <w:r>
        <w:rPr>
          <w:rFonts w:hint="eastAsia" w:ascii="Times New Roman" w:hAnsi="Times New Roman" w:cs="Times New Roman"/>
          <w:lang w:val="en-US" w:eastAsia="zh-CN"/>
        </w:rPr>
        <w:tab/>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0DF8B8-717B-41F2-BF35-B614729D6A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9254C6D4-5178-47CB-A8F3-F30421582AED}"/>
  </w:font>
  <w:font w:name="华文中宋">
    <w:panose1 w:val="02010600040101010101"/>
    <w:charset w:val="86"/>
    <w:family w:val="auto"/>
    <w:pitch w:val="default"/>
    <w:sig w:usb0="00000287" w:usb1="080F0000" w:usb2="00000000" w:usb3="00000000" w:csb0="0004009F" w:csb1="DFD70000"/>
    <w:embedRegular r:id="rId3" w:fontKey="{E099CCB3-6856-453C-8149-B087ECD4D217}"/>
  </w:font>
  <w:font w:name="方正小标宋_GBK">
    <w:panose1 w:val="02000000000000000000"/>
    <w:charset w:val="86"/>
    <w:family w:val="script"/>
    <w:pitch w:val="default"/>
    <w:sig w:usb0="A00002BF" w:usb1="38CF7CFA" w:usb2="00082016" w:usb3="00000000" w:csb0="00040001" w:csb1="00000000"/>
    <w:embedRegular r:id="rId4" w:fontKey="{AC7EFF55-508D-4831-9497-A84981258177}"/>
  </w:font>
  <w:font w:name="方正小标宋简体">
    <w:panose1 w:val="03000509000000000000"/>
    <w:charset w:val="86"/>
    <w:family w:val="auto"/>
    <w:pitch w:val="default"/>
    <w:sig w:usb0="00000001" w:usb1="080E0000" w:usb2="00000000" w:usb3="00000000" w:csb0="00040000" w:csb1="00000000"/>
    <w:embedRegular r:id="rId5" w:fontKey="{ED29CD71-2B3B-4768-84C4-91345DA8A845}"/>
  </w:font>
  <w:font w:name="楷体_GB2312">
    <w:panose1 w:val="02010609030101010101"/>
    <w:charset w:val="86"/>
    <w:family w:val="auto"/>
    <w:pitch w:val="default"/>
    <w:sig w:usb0="00000001" w:usb1="080E0000" w:usb2="00000000" w:usb3="00000000" w:csb0="00040000" w:csb1="00000000"/>
    <w:embedRegular r:id="rId6" w:fontKey="{25FDA1E5-5C6B-4BF2-AB84-7A25F2F29A20}"/>
  </w:font>
  <w:font w:name="楷体">
    <w:panose1 w:val="02010609060101010101"/>
    <w:charset w:val="86"/>
    <w:family w:val="modern"/>
    <w:pitch w:val="default"/>
    <w:sig w:usb0="800002BF" w:usb1="38CF7CFA" w:usb2="00000016" w:usb3="00000000" w:csb0="00040001" w:csb1="00000000"/>
    <w:embedRegular r:id="rId7" w:fontKey="{B3631AA7-508A-44AD-89D2-F7328F456E6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7C36D2E">
        <w:pPr>
          <w:pStyle w:val="7"/>
          <w:jc w:val="center"/>
        </w:pPr>
        <w:r>
          <w:fldChar w:fldCharType="begin"/>
        </w:r>
        <w:r>
          <w:instrText xml:space="preserve">PAGE   \* MERGEFORMAT</w:instrText>
        </w:r>
        <w:r>
          <w:fldChar w:fldCharType="separate"/>
        </w:r>
        <w:r>
          <w:rPr>
            <w:lang w:val="zh-CN"/>
          </w:rPr>
          <w:t>13</w:t>
        </w:r>
        <w:r>
          <w:fldChar w:fldCharType="end"/>
        </w:r>
      </w:p>
    </w:sdtContent>
  </w:sdt>
  <w:p w14:paraId="67582AE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5B17A"/>
    <w:multiLevelType w:val="singleLevel"/>
    <w:tmpl w:val="80A5B17A"/>
    <w:lvl w:ilvl="0" w:tentative="0">
      <w:start w:val="3"/>
      <w:numFmt w:val="chineseCounting"/>
      <w:suff w:val="nothing"/>
      <w:lvlText w:val="（%1）"/>
      <w:lvlJc w:val="left"/>
      <w:rPr>
        <w:rFonts w:hint="eastAsia"/>
      </w:rPr>
    </w:lvl>
  </w:abstractNum>
  <w:abstractNum w:abstractNumId="1">
    <w:nsid w:val="DB425E07"/>
    <w:multiLevelType w:val="singleLevel"/>
    <w:tmpl w:val="DB425E07"/>
    <w:lvl w:ilvl="0" w:tentative="0">
      <w:start w:val="3"/>
      <w:numFmt w:val="chineseCounting"/>
      <w:suff w:val="nothing"/>
      <w:lvlText w:val="%1、"/>
      <w:lvlJc w:val="left"/>
      <w:rPr>
        <w:rFonts w:hint="eastAsia"/>
      </w:rPr>
    </w:lvl>
  </w:abstractNum>
  <w:abstractNum w:abstractNumId="2">
    <w:nsid w:val="397A1568"/>
    <w:multiLevelType w:val="singleLevel"/>
    <w:tmpl w:val="397A1568"/>
    <w:lvl w:ilvl="0" w:tentative="0">
      <w:start w:val="2"/>
      <w:numFmt w:val="chineseCounting"/>
      <w:suff w:val="nothing"/>
      <w:lvlText w:val="（%1）"/>
      <w:lvlJc w:val="left"/>
      <w:rPr>
        <w:rFonts w:hint="eastAsia"/>
      </w:rPr>
    </w:lvl>
  </w:abstractNum>
  <w:abstractNum w:abstractNumId="3">
    <w:nsid w:val="74D4E887"/>
    <w:multiLevelType w:val="singleLevel"/>
    <w:tmpl w:val="74D4E887"/>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564E60E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1"/>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5"/>
    <w:qFormat/>
    <w:uiPriority w:val="0"/>
    <w:pPr>
      <w:spacing w:after="0"/>
      <w:ind w:firstLine="20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6"/>
    <w:qFormat/>
    <w:uiPriority w:val="0"/>
    <w:rPr>
      <w:rFonts w:ascii="Times New Roman" w:hAnsi="Times New Roman" w:eastAsia="宋体" w:cs="Times New Roman"/>
      <w:kern w:val="2"/>
      <w:sz w:val="18"/>
      <w:szCs w:val="18"/>
    </w:rPr>
  </w:style>
  <w:style w:type="character" w:customStyle="1" w:styleId="22">
    <w:name w:val="页眉 字符"/>
    <w:basedOn w:val="14"/>
    <w:link w:val="8"/>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9CB5A03863224B1F8E4C488F7856E523_13</vt:lpwstr>
  </property>
  <property fmtid="{D5CDD505-2E9C-101B-9397-08002B2CF9AE}" pid="4" name="KSOTemplateDocerSaveRecord">
    <vt:lpwstr>eyJoZGlkIjoiMjhlNTYwOWIwMDQxNjU0ZjVjNjk3MGJlYmQ4MTE5ZTgifQ==</vt:lpwstr>
  </property>
</Properties>
</file>

<file path=customXml/itemProps1.xml><?xml version="1.0" encoding="utf-8"?>
<ds:datastoreItem xmlns:ds="http://schemas.openxmlformats.org/officeDocument/2006/customXml" ds:itemID="{5a94f0b6-ffb2-4817-8319-af30c37c27ec}">
  <ds:schemaRefs/>
</ds:datastoreItem>
</file>

<file path=docProps/app.xml><?xml version="1.0" encoding="utf-8"?>
<Properties xmlns="http://schemas.openxmlformats.org/officeDocument/2006/extended-properties" xmlns:vt="http://schemas.openxmlformats.org/officeDocument/2006/docPropsVTypes">
  <Template>Normal</Template>
  <Pages>21</Pages>
  <Words>9824</Words>
  <Characters>10135</Characters>
  <Lines>58</Lines>
  <Paragraphs>16</Paragraphs>
  <TotalTime>9</TotalTime>
  <ScaleCrop>false</ScaleCrop>
  <LinksUpToDate>false</LinksUpToDate>
  <CharactersWithSpaces>10145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2025-11-13T05:36:20Z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9CB5A03863224B1F8E4C488F7856E523_13</vt:lpwstr>
  </property>
  <property fmtid="{D5CDD505-2E9C-101B-9397-08002B2CF9AE}" pid="4" name="KSOTemplateDocerSaveRecord">
    <vt:lpwstr>eyJoZGlkIjoiMjhlNTYwOWIwMDQxNjU0ZjVjNjk3MGJlYmQ4MTE5ZTgifQ_x003D__x003D_</vt:lpwstr>
  </property>
</Properties>
</file>