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特克斯县牧业包扎得尔库克苏温泉卫生院2024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714D312">
      <w:r>
        <w:br w:type="page"/>
      </w:r>
    </w:p>
    <w:p w14:paraId="52025E0A">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497E0EC">
      <w:pPr>
        <w:spacing w:line="640" w:lineRule="exact"/>
        <w:ind w:firstLine="640"/>
        <w:jc w:val="both"/>
        <w:outlineLvl w:val="2"/>
      </w:pPr>
      <w:r>
        <w:rPr>
          <w:rFonts w:ascii="黑体" w:hAnsi="黑体" w:eastAsia="黑体"/>
          <w:sz w:val="32"/>
        </w:rPr>
        <w:t>一、主要职能</w:t>
      </w:r>
    </w:p>
    <w:p w14:paraId="14879804">
      <w:pPr>
        <w:spacing w:line="580" w:lineRule="exact"/>
        <w:ind w:firstLine="640"/>
        <w:jc w:val="both"/>
      </w:pPr>
      <w:r>
        <w:rPr>
          <w:rFonts w:ascii="仿宋_GB2312" w:hAnsi="仿宋_GB2312" w:eastAsia="仿宋_GB2312"/>
          <w:sz w:val="32"/>
        </w:rPr>
        <w:t>1.为人民健康医疗与预防保健服务，常见病多发病的治疗和护理。</w:t>
      </w:r>
    </w:p>
    <w:p w14:paraId="6A5D2A5C">
      <w:pPr>
        <w:spacing w:line="580" w:lineRule="exact"/>
        <w:ind w:firstLine="640"/>
        <w:jc w:val="both"/>
      </w:pPr>
      <w:r>
        <w:rPr>
          <w:rFonts w:ascii="仿宋_GB2312" w:hAnsi="仿宋_GB2312" w:eastAsia="仿宋_GB2312"/>
          <w:sz w:val="32"/>
        </w:rPr>
        <w:t>2.预防保健；卫生人员技术培训。</w:t>
      </w:r>
    </w:p>
    <w:p w14:paraId="610A256B">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14:paraId="2E109AC0">
      <w:pPr>
        <w:spacing w:line="640" w:lineRule="exact"/>
        <w:ind w:firstLine="640"/>
        <w:jc w:val="both"/>
        <w:outlineLvl w:val="2"/>
      </w:pPr>
      <w:r>
        <w:rPr>
          <w:rFonts w:ascii="黑体" w:hAnsi="黑体" w:eastAsia="黑体"/>
          <w:sz w:val="32"/>
        </w:rPr>
        <w:t>二、机构设置及人员情况</w:t>
      </w:r>
    </w:p>
    <w:p w14:paraId="1E04EC5F">
      <w:pPr>
        <w:spacing w:line="580" w:lineRule="exact"/>
        <w:ind w:firstLine="640"/>
        <w:jc w:val="both"/>
      </w:pPr>
      <w:r>
        <w:rPr>
          <w:rFonts w:ascii="仿宋_GB2312" w:hAnsi="仿宋_GB2312" w:eastAsia="仿宋_GB2312"/>
          <w:sz w:val="32"/>
        </w:rPr>
        <w:t>特克斯县牧业包扎得尔库克苏温泉卫生院2024年度，实有人数19人，其中：在职人员14人，增加0人；离休人员0人，增加0人；退休人员5人,减少1人。</w:t>
      </w:r>
    </w:p>
    <w:p w14:paraId="3EC23ED1">
      <w:pPr>
        <w:spacing w:line="580" w:lineRule="exact"/>
        <w:ind w:firstLine="640"/>
        <w:jc w:val="both"/>
      </w:pPr>
      <w:r>
        <w:rPr>
          <w:rFonts w:ascii="仿宋_GB2312" w:hAnsi="仿宋_GB2312" w:eastAsia="仿宋_GB2312"/>
          <w:sz w:val="32"/>
        </w:rPr>
        <w:t>特克斯县牧业包扎得尔库克苏温泉卫生院无下属预算</w:t>
      </w:r>
      <w:r>
        <w:rPr>
          <w:rFonts w:hint="eastAsia" w:ascii="仿宋_GB2312" w:hAnsi="仿宋_GB2312" w:eastAsia="仿宋_GB2312"/>
          <w:sz w:val="32"/>
          <w:lang w:eastAsia="zh-CN"/>
        </w:rPr>
        <w:t>单位</w:t>
      </w:r>
      <w:r>
        <w:rPr>
          <w:rFonts w:ascii="仿宋_GB2312" w:hAnsi="仿宋_GB2312" w:eastAsia="仿宋_GB2312"/>
          <w:sz w:val="32"/>
        </w:rPr>
        <w:t>，下设5个科室，分别是：中医民族科、检验科、财务室、办公室、药房。</w:t>
      </w:r>
    </w:p>
    <w:p w14:paraId="1A6C04B2">
      <w:r>
        <w:br w:type="page"/>
      </w:r>
    </w:p>
    <w:p w14:paraId="5FFB6451">
      <w:pPr>
        <w:spacing w:line="240" w:lineRule="auto"/>
        <w:jc w:val="center"/>
        <w:outlineLvl w:val="1"/>
      </w:pPr>
      <w:r>
        <w:rPr>
          <w:rFonts w:ascii="黑体" w:hAnsi="黑体" w:eastAsia="黑体"/>
          <w:sz w:val="32"/>
        </w:rPr>
        <w:t>第二部分 部门决算情况说明</w:t>
      </w:r>
    </w:p>
    <w:p w14:paraId="77BE3DB8">
      <w:pPr>
        <w:spacing w:line="640" w:lineRule="exact"/>
        <w:ind w:firstLine="640"/>
        <w:jc w:val="both"/>
        <w:outlineLvl w:val="2"/>
      </w:pPr>
      <w:r>
        <w:rPr>
          <w:rFonts w:ascii="黑体" w:hAnsi="黑体" w:eastAsia="黑体"/>
          <w:sz w:val="32"/>
        </w:rPr>
        <w:t>一、收入支出决算总体情况说明</w:t>
      </w:r>
    </w:p>
    <w:p w14:paraId="1AEE0B7D">
      <w:pPr>
        <w:spacing w:line="580" w:lineRule="exact"/>
        <w:ind w:firstLine="640"/>
        <w:jc w:val="both"/>
      </w:pPr>
      <w:r>
        <w:rPr>
          <w:rFonts w:ascii="仿宋_GB2312" w:hAnsi="仿宋_GB2312" w:eastAsia="仿宋_GB2312"/>
          <w:b/>
          <w:sz w:val="32"/>
        </w:rPr>
        <w:t>2024年度收入总计244.31万元，</w:t>
      </w:r>
      <w:r>
        <w:rPr>
          <w:rFonts w:ascii="仿宋_GB2312" w:hAnsi="仿宋_GB2312" w:eastAsia="仿宋_GB2312"/>
          <w:b w:val="0"/>
          <w:sz w:val="32"/>
        </w:rPr>
        <w:t>其中：本年收入合计244.31万元，使用非财政拨款结余（含专用结余）0.00万元，年初结转和结余0.00万元。</w:t>
      </w:r>
    </w:p>
    <w:p w14:paraId="42DFFE71">
      <w:pPr>
        <w:spacing w:line="580" w:lineRule="exact"/>
        <w:ind w:firstLine="640"/>
        <w:jc w:val="both"/>
      </w:pPr>
      <w:r>
        <w:rPr>
          <w:rFonts w:ascii="仿宋_GB2312" w:hAnsi="仿宋_GB2312" w:eastAsia="仿宋_GB2312"/>
          <w:b/>
          <w:sz w:val="32"/>
        </w:rPr>
        <w:t>2024年度支出总计244.31万元，</w:t>
      </w:r>
      <w:r>
        <w:rPr>
          <w:rFonts w:ascii="仿宋_GB2312" w:hAnsi="仿宋_GB2312" w:eastAsia="仿宋_GB2312"/>
          <w:b w:val="0"/>
          <w:sz w:val="32"/>
        </w:rPr>
        <w:t>其中：本年支出合计244.31万元，结余分配0.00万元，年末结转和结余0.00万元。</w:t>
      </w:r>
    </w:p>
    <w:p w14:paraId="59EF53D0">
      <w:pPr>
        <w:spacing w:line="580" w:lineRule="exact"/>
        <w:ind w:firstLine="640"/>
        <w:jc w:val="both"/>
      </w:pPr>
      <w:r>
        <w:rPr>
          <w:rFonts w:ascii="仿宋_GB2312" w:hAnsi="仿宋_GB2312" w:eastAsia="仿宋_GB2312"/>
          <w:b w:val="0"/>
          <w:sz w:val="32"/>
        </w:rPr>
        <w:t>收入支出总体与上年相比，增加28.22万元，增长13.06%，主要原因是：本年在职人员工资调增，公积金基数调增，人员经费增加，新增死亡人员，死亡抚恤金增加；就诊人员增加，医疗收入增加。</w:t>
      </w:r>
    </w:p>
    <w:p w14:paraId="1119BCA5">
      <w:pPr>
        <w:spacing w:line="640" w:lineRule="exact"/>
        <w:ind w:firstLine="640"/>
        <w:jc w:val="both"/>
        <w:outlineLvl w:val="2"/>
      </w:pPr>
      <w:r>
        <w:rPr>
          <w:rFonts w:ascii="黑体" w:hAnsi="黑体" w:eastAsia="黑体"/>
          <w:sz w:val="32"/>
        </w:rPr>
        <w:t>二、收入决算情况说明</w:t>
      </w:r>
    </w:p>
    <w:p w14:paraId="5B4ECEBD">
      <w:pPr>
        <w:spacing w:line="580" w:lineRule="exact"/>
        <w:ind w:firstLine="640"/>
        <w:jc w:val="both"/>
      </w:pPr>
      <w:r>
        <w:rPr>
          <w:rFonts w:ascii="仿宋_GB2312" w:hAnsi="仿宋_GB2312" w:eastAsia="仿宋_GB2312"/>
          <w:b/>
          <w:sz w:val="32"/>
        </w:rPr>
        <w:t>本年收入244.31万元，</w:t>
      </w:r>
      <w:r>
        <w:rPr>
          <w:rFonts w:ascii="仿宋_GB2312" w:hAnsi="仿宋_GB2312" w:eastAsia="仿宋_GB2312"/>
          <w:b w:val="0"/>
          <w:sz w:val="32"/>
        </w:rPr>
        <w:t>其中：财政拨款收入215.97万元，占88.40%；上级补助收入0.00万元，占0.00%；事业收入23.34万元，占9.55%；经营收入0.00万元，占0.00%；附属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上缴收入0.00万元，占0.00%；其他收入5.00万元，占2.05%。</w:t>
      </w:r>
    </w:p>
    <w:p w14:paraId="5EBF9266">
      <w:pPr>
        <w:spacing w:line="640" w:lineRule="exact"/>
        <w:ind w:firstLine="640"/>
        <w:jc w:val="both"/>
        <w:outlineLvl w:val="2"/>
      </w:pPr>
      <w:r>
        <w:rPr>
          <w:rFonts w:ascii="黑体" w:hAnsi="黑体" w:eastAsia="黑体"/>
          <w:sz w:val="32"/>
        </w:rPr>
        <w:t>三、支出决算情况说明</w:t>
      </w:r>
    </w:p>
    <w:p w14:paraId="396750EB">
      <w:pPr>
        <w:spacing w:line="580" w:lineRule="exact"/>
        <w:ind w:firstLine="640"/>
        <w:jc w:val="both"/>
      </w:pPr>
      <w:r>
        <w:rPr>
          <w:rFonts w:ascii="仿宋_GB2312" w:hAnsi="仿宋_GB2312" w:eastAsia="仿宋_GB2312"/>
          <w:b/>
          <w:sz w:val="32"/>
        </w:rPr>
        <w:t>本年支出244.31万元，</w:t>
      </w:r>
      <w:r>
        <w:rPr>
          <w:rFonts w:ascii="仿宋_GB2312" w:hAnsi="仿宋_GB2312" w:eastAsia="仿宋_GB2312"/>
          <w:b w:val="0"/>
          <w:sz w:val="32"/>
        </w:rPr>
        <w:t>其中：基本支出242.81万元，占99.39%；项目支出1.50万元，占0.61%；上缴上级支出0.00万元，占0.00%；经营支出0.00万元，占0.00%；对附属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68EA0716">
      <w:pPr>
        <w:spacing w:line="640" w:lineRule="exact"/>
        <w:ind w:firstLine="640"/>
        <w:jc w:val="both"/>
        <w:outlineLvl w:val="2"/>
      </w:pPr>
      <w:r>
        <w:rPr>
          <w:rFonts w:ascii="黑体" w:hAnsi="黑体" w:eastAsia="黑体"/>
          <w:sz w:val="32"/>
        </w:rPr>
        <w:t>四、财政拨款收入支出决算总体情况说明</w:t>
      </w:r>
    </w:p>
    <w:p w14:paraId="606018F2">
      <w:pPr>
        <w:spacing w:line="580" w:lineRule="exact"/>
        <w:ind w:firstLine="640"/>
        <w:jc w:val="both"/>
      </w:pPr>
      <w:r>
        <w:rPr>
          <w:rFonts w:ascii="仿宋_GB2312" w:hAnsi="仿宋_GB2312" w:eastAsia="仿宋_GB2312"/>
          <w:b/>
          <w:sz w:val="32"/>
        </w:rPr>
        <w:t>2024年度财政拨款收入总计215.97万元，</w:t>
      </w:r>
      <w:r>
        <w:rPr>
          <w:rFonts w:ascii="仿宋_GB2312" w:hAnsi="仿宋_GB2312" w:eastAsia="仿宋_GB2312"/>
          <w:b w:val="0"/>
          <w:sz w:val="32"/>
        </w:rPr>
        <w:t>其中：年初财政拨款结转和结余0.00万元，本年财政拨款收入215.97万元。</w:t>
      </w:r>
      <w:r>
        <w:rPr>
          <w:rFonts w:ascii="仿宋_GB2312" w:hAnsi="仿宋_GB2312" w:eastAsia="仿宋_GB2312"/>
          <w:b/>
          <w:sz w:val="32"/>
        </w:rPr>
        <w:t>财政拨款支出总计215.97万元，</w:t>
      </w:r>
      <w:r>
        <w:rPr>
          <w:rFonts w:ascii="仿宋_GB2312" w:hAnsi="仿宋_GB2312" w:eastAsia="仿宋_GB2312"/>
          <w:b w:val="0"/>
          <w:sz w:val="32"/>
        </w:rPr>
        <w:t>其中：年末财政拨款结转和结余0.00万元，本年财政拨款支出215.97万元。</w:t>
      </w:r>
    </w:p>
    <w:p w14:paraId="35EE830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增加23.88万元，增长12.43%，主要原因是：本年在职人员工资调增，公积金基数调增，人员经费增加，新增死亡人员，死亡抚恤金增加。</w:t>
      </w:r>
      <w:r>
        <w:rPr>
          <w:rFonts w:ascii="仿宋_GB2312" w:hAnsi="仿宋_GB2312" w:eastAsia="仿宋_GB2312"/>
          <w:b/>
          <w:sz w:val="32"/>
        </w:rPr>
        <w:t>与年初预算相比，</w:t>
      </w:r>
      <w:r>
        <w:rPr>
          <w:rFonts w:ascii="仿宋_GB2312" w:hAnsi="仿宋_GB2312" w:eastAsia="仿宋_GB2312"/>
          <w:b w:val="0"/>
          <w:sz w:val="32"/>
        </w:rPr>
        <w:t>年初预算数201.16万元，决算数215.97万元，预决算差异率7.36%，主要原因是：年中追加人员工资、社保、公积金基数调增部分资金，导致预决算存在差异。</w:t>
      </w:r>
    </w:p>
    <w:p w14:paraId="7D166155">
      <w:pPr>
        <w:spacing w:line="640" w:lineRule="exact"/>
        <w:ind w:firstLine="640"/>
        <w:jc w:val="both"/>
        <w:outlineLvl w:val="2"/>
      </w:pPr>
      <w:r>
        <w:rPr>
          <w:rFonts w:ascii="黑体" w:hAnsi="黑体" w:eastAsia="黑体"/>
          <w:sz w:val="32"/>
        </w:rPr>
        <w:t>五、一般公共预算财政拨款支出决算情况说明</w:t>
      </w:r>
    </w:p>
    <w:p w14:paraId="23521353">
      <w:pPr>
        <w:spacing w:line="640" w:lineRule="exact"/>
        <w:ind w:firstLine="640"/>
        <w:jc w:val="both"/>
        <w:outlineLvl w:val="3"/>
      </w:pPr>
      <w:r>
        <w:rPr>
          <w:rFonts w:ascii="楷体_GB2312" w:hAnsi="楷体_GB2312" w:eastAsia="楷体_GB2312"/>
          <w:b/>
          <w:sz w:val="32"/>
        </w:rPr>
        <w:t>（一）一般公共预算财政拨款支出决算总体情况</w:t>
      </w:r>
    </w:p>
    <w:p w14:paraId="12B849C4">
      <w:pPr>
        <w:spacing w:line="580" w:lineRule="exact"/>
        <w:ind w:firstLine="640"/>
        <w:jc w:val="both"/>
      </w:pPr>
      <w:r>
        <w:rPr>
          <w:rFonts w:ascii="仿宋_GB2312" w:hAnsi="仿宋_GB2312" w:eastAsia="仿宋_GB2312"/>
          <w:b/>
          <w:sz w:val="32"/>
        </w:rPr>
        <w:t>2024年度一般公共预算财政拨款支出215.97万元，</w:t>
      </w:r>
      <w:r>
        <w:rPr>
          <w:rFonts w:ascii="仿宋_GB2312" w:hAnsi="仿宋_GB2312" w:eastAsia="仿宋_GB2312"/>
          <w:b w:val="0"/>
          <w:sz w:val="32"/>
        </w:rPr>
        <w:t>占本年支出合计的88.40%。</w:t>
      </w:r>
      <w:r>
        <w:rPr>
          <w:rFonts w:ascii="仿宋_GB2312" w:hAnsi="仿宋_GB2312" w:eastAsia="仿宋_GB2312"/>
          <w:b/>
          <w:sz w:val="32"/>
        </w:rPr>
        <w:t>与上年相比，</w:t>
      </w:r>
      <w:r>
        <w:rPr>
          <w:rFonts w:ascii="仿宋_GB2312" w:hAnsi="仿宋_GB2312" w:eastAsia="仿宋_GB2312"/>
          <w:b w:val="0"/>
          <w:sz w:val="32"/>
        </w:rPr>
        <w:t>增加23.88万元，增长12.43%，主要原因是：本年在职人员工资调增，公积金基数调增，人员经费增加，新增死亡人员，死亡抚恤金增加。</w:t>
      </w:r>
      <w:r>
        <w:rPr>
          <w:rFonts w:ascii="仿宋_GB2312" w:hAnsi="仿宋_GB2312" w:eastAsia="仿宋_GB2312"/>
          <w:b/>
          <w:sz w:val="32"/>
        </w:rPr>
        <w:t>与年初预算相比,</w:t>
      </w:r>
      <w:r>
        <w:rPr>
          <w:rFonts w:ascii="仿宋_GB2312" w:hAnsi="仿宋_GB2312" w:eastAsia="仿宋_GB2312"/>
          <w:b w:val="0"/>
          <w:sz w:val="32"/>
        </w:rPr>
        <w:t>年初预算数201.16万元，决算数215.97万元，预决算差异率7.36%，主要原因是：年中追加人员经费及人员工资、社保、公积金基数调增部分资金，导致预决算存在差异。</w:t>
      </w:r>
    </w:p>
    <w:p w14:paraId="2AF2FBA4">
      <w:pPr>
        <w:spacing w:line="640" w:lineRule="exact"/>
        <w:ind w:firstLine="640"/>
        <w:jc w:val="both"/>
        <w:outlineLvl w:val="3"/>
      </w:pPr>
      <w:r>
        <w:rPr>
          <w:rFonts w:ascii="楷体_GB2312" w:hAnsi="楷体_GB2312" w:eastAsia="楷体_GB2312"/>
          <w:b/>
          <w:sz w:val="32"/>
        </w:rPr>
        <w:t>（二）一般公共预算财政拨款支出决算结构情况</w:t>
      </w:r>
    </w:p>
    <w:p w14:paraId="2B37A67D">
      <w:pPr>
        <w:spacing w:line="580" w:lineRule="exact"/>
        <w:ind w:firstLine="640"/>
        <w:jc w:val="both"/>
      </w:pPr>
      <w:r>
        <w:rPr>
          <w:rFonts w:ascii="仿宋_GB2312" w:hAnsi="仿宋_GB2312" w:eastAsia="仿宋_GB2312"/>
          <w:b w:val="0"/>
          <w:sz w:val="32"/>
        </w:rPr>
        <w:t>1.社会保障和就业支出(类)27.72万元,占12.84%。</w:t>
      </w:r>
    </w:p>
    <w:p w14:paraId="5680E5BB">
      <w:pPr>
        <w:spacing w:line="580" w:lineRule="exact"/>
        <w:ind w:firstLine="640"/>
        <w:jc w:val="both"/>
      </w:pPr>
      <w:r>
        <w:rPr>
          <w:rFonts w:ascii="仿宋_GB2312" w:hAnsi="仿宋_GB2312" w:eastAsia="仿宋_GB2312"/>
          <w:b w:val="0"/>
          <w:sz w:val="32"/>
        </w:rPr>
        <w:t>2.卫生健康支出(类)172.29万元,占79.77%。</w:t>
      </w:r>
    </w:p>
    <w:p w14:paraId="1535B24C">
      <w:pPr>
        <w:spacing w:line="580" w:lineRule="exact"/>
        <w:ind w:firstLine="640"/>
        <w:jc w:val="both"/>
      </w:pPr>
      <w:r>
        <w:rPr>
          <w:rFonts w:ascii="仿宋_GB2312" w:hAnsi="仿宋_GB2312" w:eastAsia="仿宋_GB2312"/>
          <w:b w:val="0"/>
          <w:sz w:val="32"/>
        </w:rPr>
        <w:t>3.住房保障支出(类)15.97万元,占7.39%。</w:t>
      </w:r>
    </w:p>
    <w:p w14:paraId="41E67400">
      <w:pPr>
        <w:spacing w:line="640" w:lineRule="exact"/>
        <w:ind w:firstLine="640"/>
        <w:jc w:val="both"/>
        <w:outlineLvl w:val="3"/>
      </w:pPr>
      <w:r>
        <w:rPr>
          <w:rFonts w:ascii="楷体_GB2312" w:hAnsi="楷体_GB2312" w:eastAsia="楷体_GB2312"/>
          <w:b/>
          <w:sz w:val="32"/>
        </w:rPr>
        <w:t>（三）一般公共预算财政拨款支出决算具体情况</w:t>
      </w:r>
    </w:p>
    <w:p w14:paraId="1DE57ACF">
      <w:pPr>
        <w:spacing w:line="580" w:lineRule="exact"/>
        <w:ind w:firstLine="640"/>
        <w:jc w:val="both"/>
      </w:pPr>
      <w:r>
        <w:rPr>
          <w:rFonts w:ascii="仿宋_GB2312" w:hAnsi="仿宋_GB2312" w:eastAsia="仿宋_GB2312"/>
          <w:b w:val="0"/>
          <w:sz w:val="32"/>
        </w:rPr>
        <w:t>1.社会保障和就业支出(类)行政事业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基本养老保险缴费支出(项):支出决算数为20.68万元，比上年决算增加2.79万元，增长15.60%,主要原因是：本年在职人员工资基数调增，养老缴费基数上涨，相应支出增加。</w:t>
      </w:r>
    </w:p>
    <w:p w14:paraId="1EAEE824">
      <w:pPr>
        <w:spacing w:line="580" w:lineRule="exact"/>
        <w:ind w:firstLine="640"/>
        <w:jc w:val="both"/>
      </w:pPr>
      <w:r>
        <w:rPr>
          <w:rFonts w:ascii="仿宋_GB2312" w:hAnsi="仿宋_GB2312" w:eastAsia="仿宋_GB2312"/>
          <w:b w:val="0"/>
          <w:sz w:val="32"/>
        </w:rPr>
        <w:t>2.社会保障和就业支出(类)抚恤(款)死亡抚恤(项):支出决算数为7.04万元，比上年决算增加5.89万元，增长512.17%,主要原因是：本年新增死亡人员，死亡抚恤支出增加。</w:t>
      </w:r>
    </w:p>
    <w:p w14:paraId="55048DE7">
      <w:pPr>
        <w:spacing w:line="580" w:lineRule="exact"/>
        <w:ind w:firstLine="640"/>
        <w:jc w:val="both"/>
      </w:pPr>
      <w:r>
        <w:rPr>
          <w:rFonts w:ascii="仿宋_GB2312" w:hAnsi="仿宋_GB2312" w:eastAsia="仿宋_GB2312"/>
          <w:b w:val="0"/>
          <w:sz w:val="32"/>
        </w:rPr>
        <w:t>3.卫生健康支出(类)基层医疗卫生机构(款)乡镇卫生院(项):支出决算数为162.08万元，比上年决算增加12.95万元，</w:t>
      </w:r>
      <w:r>
        <w:rPr>
          <w:rFonts w:ascii="仿宋_GB2312" w:hAnsi="仿宋_GB2312" w:eastAsia="仿宋_GB2312"/>
          <w:b w:val="0"/>
          <w:w w:val="97"/>
          <w:sz w:val="32"/>
        </w:rPr>
        <w:t>增长8.68%,主要原因是：本年在职人员工资调增，人员经费增加。</w:t>
      </w:r>
    </w:p>
    <w:p w14:paraId="3D606F4B">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4.卫生健康支出(类)基层医疗卫生机构(款)其他基层医疗卫生机构支出(项):支出决算数为1.50万元，比上年决算增加0.00万元，增长0.00%,主要原因是：本年度基本药物补助资金与上年一致，无变化。</w:t>
      </w:r>
    </w:p>
    <w:p w14:paraId="0A336582">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医疗(项):支出决算数为8.53万元，比上年决算增加0.43万元，增长5.31%,主要原因是：本年在职人员工资基数调增，医疗缴费基数上涨，相应支出增加。</w:t>
      </w:r>
    </w:p>
    <w:p w14:paraId="202DA62B">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医疗支出(项):支出决算数为0.17万元，比上年决算减少0.06万元，下降26.09%,主要原因是：本年在职人员调入调出，人员职级不同，缴费基数不同，导致工伤、失业保险缴费减少。</w:t>
      </w:r>
    </w:p>
    <w:p w14:paraId="14EC50A3">
      <w:pPr>
        <w:spacing w:line="580" w:lineRule="exact"/>
        <w:ind w:firstLine="640"/>
        <w:jc w:val="both"/>
      </w:pPr>
      <w:r>
        <w:rPr>
          <w:rFonts w:ascii="仿宋_GB2312" w:hAnsi="仿宋_GB2312" w:eastAsia="仿宋_GB2312"/>
          <w:b w:val="0"/>
          <w:sz w:val="32"/>
        </w:rPr>
        <w:t>7.住房保障支出(类)住房改革支出(款)住房公积金(项):支出决算数为15.97万元，比上年决算增加1.89万元，增长13.42%,主要原因是：本年在职人员工资基数调增，公积金缴费基数上涨，相应支出增加。</w:t>
      </w:r>
    </w:p>
    <w:p w14:paraId="323596AD">
      <w:pPr>
        <w:spacing w:line="640" w:lineRule="exact"/>
        <w:ind w:firstLine="640"/>
        <w:jc w:val="both"/>
        <w:outlineLvl w:val="2"/>
      </w:pPr>
      <w:r>
        <w:rPr>
          <w:rFonts w:ascii="黑体" w:hAnsi="黑体" w:eastAsia="黑体"/>
          <w:sz w:val="32"/>
        </w:rPr>
        <w:t>六、一般公共预算财政拨款基本支出决算情况说明</w:t>
      </w:r>
    </w:p>
    <w:p w14:paraId="7C18EEAA">
      <w:pPr>
        <w:spacing w:line="580" w:lineRule="exact"/>
        <w:ind w:firstLine="640"/>
        <w:jc w:val="both"/>
      </w:pPr>
      <w:r>
        <w:rPr>
          <w:rFonts w:ascii="仿宋_GB2312" w:hAnsi="仿宋_GB2312" w:eastAsia="仿宋_GB2312"/>
          <w:b w:val="0"/>
          <w:sz w:val="32"/>
        </w:rPr>
        <w:t>2024年度一般公共预算财政拨款基本支出214.47万元，其中：</w:t>
      </w:r>
      <w:r>
        <w:rPr>
          <w:rFonts w:ascii="仿宋_GB2312" w:hAnsi="仿宋_GB2312" w:eastAsia="仿宋_GB2312"/>
          <w:b/>
          <w:sz w:val="32"/>
        </w:rPr>
        <w:t>人员经费214.32万元，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基本养老保险缴费、职工基本医疗保险缴费、其他社会保障缴费、住房公积金、退休费、抚恤金、生活补助。</w:t>
      </w:r>
    </w:p>
    <w:p w14:paraId="0B6DBDC5">
      <w:pPr>
        <w:spacing w:line="580" w:lineRule="exact"/>
        <w:ind w:firstLine="640"/>
        <w:jc w:val="both"/>
      </w:pPr>
      <w:r>
        <w:rPr>
          <w:rFonts w:ascii="仿宋_GB2312" w:hAnsi="仿宋_GB2312" w:eastAsia="仿宋_GB2312"/>
          <w:b/>
          <w:sz w:val="32"/>
        </w:rPr>
        <w:t>公用经费0.15万元，</w:t>
      </w:r>
      <w:r>
        <w:rPr>
          <w:rFonts w:ascii="仿宋_GB2312" w:hAnsi="仿宋_GB2312" w:eastAsia="仿宋_GB2312"/>
          <w:b w:val="0"/>
          <w:sz w:val="32"/>
        </w:rPr>
        <w:t>包括：工会经费。</w:t>
      </w:r>
    </w:p>
    <w:p w14:paraId="401121B4">
      <w:pPr>
        <w:spacing w:line="640" w:lineRule="exact"/>
        <w:ind w:firstLine="640"/>
        <w:jc w:val="both"/>
        <w:outlineLvl w:val="2"/>
      </w:pPr>
      <w:r>
        <w:rPr>
          <w:rFonts w:ascii="黑体" w:hAnsi="黑体" w:eastAsia="黑体"/>
          <w:sz w:val="32"/>
        </w:rPr>
        <w:t>七、政府性基金预算财政拨款收入支出决算情况说明</w:t>
      </w:r>
    </w:p>
    <w:p w14:paraId="4D67CE6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0700545C">
      <w:pPr>
        <w:spacing w:line="640" w:lineRule="exact"/>
        <w:ind w:firstLine="640"/>
        <w:jc w:val="both"/>
        <w:outlineLvl w:val="2"/>
      </w:pPr>
      <w:r>
        <w:rPr>
          <w:rFonts w:ascii="黑体" w:hAnsi="黑体" w:eastAsia="黑体"/>
          <w:sz w:val="32"/>
        </w:rPr>
        <w:t>八、国有资本经营预算财政拨款收入支出决算情况说明</w:t>
      </w:r>
    </w:p>
    <w:p w14:paraId="5E3576E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119525B0">
      <w:pPr>
        <w:spacing w:line="640" w:lineRule="exact"/>
        <w:ind w:firstLine="640"/>
        <w:jc w:val="both"/>
        <w:outlineLvl w:val="2"/>
      </w:pPr>
      <w:r>
        <w:rPr>
          <w:rFonts w:ascii="黑体" w:hAnsi="黑体" w:eastAsia="黑体"/>
          <w:sz w:val="32"/>
        </w:rPr>
        <w:t>九、财政拨款“三公”经费支出决算情况说明</w:t>
      </w:r>
    </w:p>
    <w:p w14:paraId="746D2865">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1E25C74">
      <w:pPr>
        <w:spacing w:line="580" w:lineRule="exact"/>
        <w:ind w:firstLine="640"/>
        <w:jc w:val="both"/>
      </w:pPr>
      <w:r>
        <w:rPr>
          <w:rFonts w:ascii="仿宋_GB2312" w:hAnsi="仿宋_GB2312" w:eastAsia="仿宋_GB2312"/>
          <w:b/>
          <w:sz w:val="32"/>
        </w:rPr>
        <w:t>具体情况如下：</w:t>
      </w:r>
    </w:p>
    <w:p w14:paraId="07488006">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A79B408">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无公务用车运行维护费。公务用车购置数0辆，公务用车保有量0辆。国有资产占用情况中固定资产车辆2辆，与公务用车保有量差异原因是：</w:t>
      </w:r>
      <w:r>
        <w:rPr>
          <w:rFonts w:hint="eastAsia" w:ascii="仿宋_GB2312" w:hAnsi="仿宋_GB2312" w:eastAsia="仿宋_GB2312"/>
          <w:b w:val="0"/>
          <w:sz w:val="32"/>
          <w:lang w:eastAsia="zh-CN"/>
        </w:rPr>
        <w:t>单位</w:t>
      </w:r>
      <w:r>
        <w:rPr>
          <w:rFonts w:ascii="仿宋_GB2312" w:hAnsi="仿宋_GB2312" w:eastAsia="仿宋_GB2312"/>
          <w:b w:val="0"/>
          <w:sz w:val="32"/>
        </w:rPr>
        <w:t>业务用车，车辆费用未使用财政拨款公务用车运行维护费支付，由</w:t>
      </w:r>
      <w:r>
        <w:rPr>
          <w:rFonts w:hint="eastAsia" w:ascii="仿宋_GB2312" w:hAnsi="仿宋_GB2312" w:eastAsia="仿宋_GB2312"/>
          <w:b w:val="0"/>
          <w:sz w:val="32"/>
          <w:lang w:eastAsia="zh-CN"/>
        </w:rPr>
        <w:t>单位</w:t>
      </w:r>
      <w:r>
        <w:rPr>
          <w:rFonts w:ascii="仿宋_GB2312" w:hAnsi="仿宋_GB2312" w:eastAsia="仿宋_GB2312"/>
          <w:b w:val="0"/>
          <w:sz w:val="32"/>
        </w:rPr>
        <w:t>自有资金保障。</w:t>
      </w:r>
    </w:p>
    <w:p w14:paraId="52D6450D">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6F3FE14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2909ADBD">
      <w:pPr>
        <w:spacing w:line="640" w:lineRule="exact"/>
        <w:ind w:firstLine="640"/>
        <w:jc w:val="both"/>
        <w:outlineLvl w:val="2"/>
      </w:pPr>
      <w:r>
        <w:rPr>
          <w:rFonts w:ascii="黑体" w:hAnsi="黑体" w:eastAsia="黑体"/>
          <w:sz w:val="32"/>
        </w:rPr>
        <w:t>十、其他重要事项的情况说明</w:t>
      </w:r>
    </w:p>
    <w:p w14:paraId="182AA0EF">
      <w:pPr>
        <w:spacing w:line="640" w:lineRule="exact"/>
        <w:ind w:firstLine="640"/>
        <w:jc w:val="both"/>
        <w:outlineLvl w:val="3"/>
      </w:pPr>
      <w:r>
        <w:rPr>
          <w:rFonts w:ascii="楷体_GB2312" w:hAnsi="楷体_GB2312" w:eastAsia="楷体_GB2312"/>
          <w:b/>
          <w:sz w:val="32"/>
        </w:rPr>
        <w:t>（一）机关运行经费及公用经费支出情况</w:t>
      </w:r>
    </w:p>
    <w:p w14:paraId="7AA5AEC6">
      <w:pPr>
        <w:spacing w:line="580" w:lineRule="exact"/>
        <w:ind w:firstLine="640"/>
        <w:jc w:val="both"/>
      </w:pPr>
      <w:r>
        <w:rPr>
          <w:rFonts w:ascii="仿宋_GB2312" w:hAnsi="仿宋_GB2312" w:eastAsia="仿宋_GB2312"/>
          <w:b w:val="0"/>
          <w:sz w:val="32"/>
        </w:rPr>
        <w:t>2024年度特克斯县牧业包扎得尔库克苏温泉卫生院（事业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）公用经费支出0.15万元，比上年增加0.15万元，增长100.00%，主要原因是：本年度新增工会经费支出。</w:t>
      </w:r>
    </w:p>
    <w:p w14:paraId="5351A708">
      <w:pPr>
        <w:spacing w:line="640" w:lineRule="exact"/>
        <w:ind w:firstLine="640"/>
        <w:jc w:val="both"/>
        <w:outlineLvl w:val="3"/>
      </w:pPr>
      <w:r>
        <w:rPr>
          <w:rFonts w:ascii="楷体_GB2312" w:hAnsi="楷体_GB2312" w:eastAsia="楷体_GB2312"/>
          <w:b/>
          <w:sz w:val="32"/>
        </w:rPr>
        <w:t>（二）政府采购情况</w:t>
      </w:r>
    </w:p>
    <w:p w14:paraId="2F748DBE">
      <w:pPr>
        <w:spacing w:line="580" w:lineRule="exact"/>
        <w:ind w:firstLine="640"/>
        <w:jc w:val="both"/>
      </w:pPr>
      <w:r>
        <w:rPr>
          <w:rFonts w:ascii="仿宋_GB2312" w:hAnsi="仿宋_GB2312" w:eastAsia="仿宋_GB2312"/>
          <w:b w:val="0"/>
          <w:sz w:val="32"/>
        </w:rPr>
        <w:t>2024年度政府采购支出总额2.71万元，其中：政府采购货物支出0.01万元、政府采购工程支出0.00万元、政府采购服务支出2.70万元。</w:t>
      </w:r>
    </w:p>
    <w:p w14:paraId="047E13CF">
      <w:pPr>
        <w:spacing w:line="580" w:lineRule="exact"/>
        <w:ind w:firstLine="640"/>
        <w:jc w:val="both"/>
      </w:pPr>
      <w:r>
        <w:rPr>
          <w:rFonts w:ascii="仿宋_GB2312" w:hAnsi="仿宋_GB2312" w:eastAsia="仿宋_GB2312"/>
          <w:b w:val="0"/>
          <w:sz w:val="32"/>
        </w:rPr>
        <w:t>授予中小企业合同金额2.31万元，占政府采购支出总额的85.24%，其中：授予小微企业合同金额1.59万元，占政府采购支出总额的58.67%。</w:t>
      </w:r>
    </w:p>
    <w:p w14:paraId="516EECBB">
      <w:pPr>
        <w:spacing w:line="640" w:lineRule="exact"/>
        <w:ind w:firstLine="640"/>
        <w:jc w:val="both"/>
        <w:outlineLvl w:val="3"/>
      </w:pPr>
      <w:r>
        <w:rPr>
          <w:rFonts w:ascii="楷体_GB2312" w:hAnsi="楷体_GB2312" w:eastAsia="楷体_GB2312"/>
          <w:b/>
          <w:sz w:val="32"/>
        </w:rPr>
        <w:t>（三）国有资产占用情况说明</w:t>
      </w:r>
    </w:p>
    <w:p w14:paraId="5002F4F1">
      <w:pPr>
        <w:spacing w:line="580" w:lineRule="exact"/>
        <w:ind w:firstLine="640"/>
        <w:jc w:val="both"/>
      </w:pPr>
      <w:r>
        <w:rPr>
          <w:rFonts w:ascii="仿宋_GB2312" w:hAnsi="仿宋_GB2312" w:eastAsia="仿宋_GB2312"/>
          <w:b w:val="0"/>
          <w:sz w:val="32"/>
        </w:rPr>
        <w:t>截至2024年12月31日，房屋1,252.00平方米，价值271.50万元。车辆2辆，价值19.94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hAnsi="仿宋_GB2312" w:eastAsia="仿宋_GB2312"/>
          <w:b w:val="0"/>
          <w:sz w:val="32"/>
          <w:lang w:eastAsia="zh-CN"/>
        </w:rPr>
        <w:t>单位</w:t>
      </w:r>
      <w:r>
        <w:rPr>
          <w:rFonts w:ascii="仿宋_GB2312" w:hAnsi="仿宋_GB2312" w:eastAsia="仿宋_GB2312"/>
          <w:b w:val="0"/>
          <w:sz w:val="32"/>
        </w:rPr>
        <w:t>业务用车1辆，救护车1辆。单价100万元（含）以上设备（不含车辆）0台（套）。</w:t>
      </w:r>
    </w:p>
    <w:p w14:paraId="082A87AC">
      <w:pPr>
        <w:spacing w:line="640" w:lineRule="exact"/>
        <w:ind w:firstLine="640"/>
        <w:jc w:val="both"/>
        <w:outlineLvl w:val="2"/>
      </w:pPr>
      <w:r>
        <w:rPr>
          <w:rFonts w:ascii="黑体" w:hAnsi="黑体" w:eastAsia="黑体"/>
          <w:sz w:val="32"/>
        </w:rPr>
        <w:t>十一、预算绩效的情况说明</w:t>
      </w:r>
    </w:p>
    <w:p w14:paraId="4A267735">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244.31万元，实际执行总额244.31万元；预算绩效评价项目1个，全年预算数4.50万元，全年执行数4.50万元。预算绩效管理取得的成效：一是预算资金执行过程中均按照年初预算分配情况均做到专款专用，未出现资金侵、挪占情况；二是全年按照部门预算进行成本控制，全部控制在厉行节约指标数内。其他支出按财政部门下达的计划实施，全年没有项目超支，积极推动各项医疗卫生工作取得了新的进展，为促进经济持续健康发展与社会和谐稳定提供了有力的财政支撑和医疗保障。发现的问题及原因：一是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项目细化管理工作不足；三是预算绩效管理水平仍有欠缺。在2024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w:t>
      </w:r>
      <w:r>
        <w:rPr>
          <w:rFonts w:hint="eastAsia" w:ascii="仿宋_GB2312" w:hAnsi="仿宋_GB2312" w:eastAsia="仿宋_GB2312"/>
          <w:b w:val="0"/>
          <w:sz w:val="32"/>
          <w:lang w:eastAsia="zh-CN"/>
        </w:rPr>
        <w:t>还</w:t>
      </w:r>
      <w:r>
        <w:rPr>
          <w:rFonts w:ascii="仿宋_GB2312" w:hAnsi="仿宋_GB2312" w:eastAsia="仿宋_GB2312"/>
          <w:b w:val="0"/>
          <w:sz w:val="32"/>
        </w:rPr>
        <w:t>很大。下一步改进措施：一是制定和完善基本支出、项目支出等各项支出标准,严格按项目进度执行预算,增强预算的约束力和严肃性；二是落实预算执行分析,及时了解预算执行差异,合理调整、纠正预算执行偏差，切实提高部门预算收支管理水平。尽可能地做到决算与预算相衔接。进一步提高绩效管理水平。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整体支出绩效自评表，项目支出绩效自评表和评价报告。</w:t>
      </w:r>
    </w:p>
    <w:p w14:paraId="616E807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3E43655">
        <w:tblPrEx>
          <w:tblCellMar>
            <w:top w:w="0" w:type="dxa"/>
            <w:left w:w="108" w:type="dxa"/>
            <w:bottom w:w="0" w:type="dxa"/>
            <w:right w:w="108" w:type="dxa"/>
          </w:tblCellMar>
        </w:tblPrEx>
        <w:tc>
          <w:tcPr>
            <w:tcW w:w="8840" w:type="dxa"/>
            <w:gridSpan w:val="8"/>
            <w:vAlign w:val="center"/>
          </w:tcPr>
          <w:p w14:paraId="48B46FD1">
            <w:pPr>
              <w:jc w:val="center"/>
            </w:pPr>
            <w:r>
              <w:rPr>
                <w:rFonts w:hint="eastAsia" w:ascii="宋体" w:hAnsi="宋体"/>
                <w:sz w:val="24"/>
                <w:lang w:eastAsia="zh-CN"/>
              </w:rPr>
              <w:t>单位</w:t>
            </w:r>
            <w:r>
              <w:rPr>
                <w:rFonts w:ascii="宋体" w:hAnsi="宋体" w:eastAsia="宋体"/>
                <w:sz w:val="24"/>
              </w:rPr>
              <w:t>整体支出绩效自评表</w:t>
            </w:r>
          </w:p>
        </w:tc>
      </w:tr>
      <w:tr w14:paraId="6A9B0A47">
        <w:tblPrEx>
          <w:tblCellMar>
            <w:top w:w="0" w:type="dxa"/>
            <w:left w:w="108" w:type="dxa"/>
            <w:bottom w:w="0" w:type="dxa"/>
            <w:right w:w="108" w:type="dxa"/>
          </w:tblCellMar>
        </w:tblPrEx>
        <w:tc>
          <w:tcPr>
            <w:tcW w:w="8840" w:type="dxa"/>
            <w:gridSpan w:val="8"/>
            <w:vAlign w:val="center"/>
          </w:tcPr>
          <w:p w14:paraId="21B49652">
            <w:pPr>
              <w:jc w:val="center"/>
            </w:pPr>
            <w:r>
              <w:rPr>
                <w:rFonts w:ascii="宋体" w:hAnsi="宋体" w:eastAsia="宋体"/>
                <w:sz w:val="24"/>
              </w:rPr>
              <w:t>（2024年度）</w:t>
            </w:r>
          </w:p>
        </w:tc>
      </w:tr>
      <w:tr w14:paraId="4D9280A9">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B7E2EC">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D94FDA">
            <w:pPr>
              <w:jc w:val="center"/>
            </w:pPr>
            <w:r>
              <w:rPr>
                <w:rFonts w:ascii="宋体" w:hAnsi="宋体" w:eastAsia="宋体"/>
                <w:sz w:val="16"/>
              </w:rPr>
              <w:t>特克斯县牧业包扎得尔库克苏温泉卫生院</w:t>
            </w:r>
          </w:p>
        </w:tc>
      </w:tr>
      <w:tr w14:paraId="1E4108C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B6FC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1FAD9A">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6C742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32071D">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CD995B">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2CE50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CAD7D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06C3FD">
            <w:pPr>
              <w:jc w:val="center"/>
            </w:pPr>
            <w:r>
              <w:rPr>
                <w:rFonts w:ascii="宋体" w:hAnsi="宋体" w:eastAsia="宋体"/>
                <w:sz w:val="16"/>
              </w:rPr>
              <w:t>得分</w:t>
            </w:r>
          </w:p>
        </w:tc>
      </w:tr>
      <w:tr w14:paraId="1877FAA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6E012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8147C">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643C7">
            <w:pPr>
              <w:jc w:val="center"/>
            </w:pPr>
            <w:r>
              <w:rPr>
                <w:rFonts w:ascii="宋体" w:hAnsi="宋体" w:eastAsia="宋体"/>
                <w:sz w:val="16"/>
              </w:rPr>
              <w:t>205.65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3BDD5C">
            <w:pPr>
              <w:jc w:val="center"/>
            </w:pPr>
            <w:r>
              <w:rPr>
                <w:rFonts w:ascii="宋体" w:hAnsi="宋体" w:eastAsia="宋体"/>
                <w:sz w:val="16"/>
              </w:rPr>
              <w:t>244.31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F97F48">
            <w:pPr>
              <w:jc w:val="center"/>
            </w:pPr>
            <w:r>
              <w:rPr>
                <w:rFonts w:ascii="宋体" w:hAnsi="宋体" w:eastAsia="宋体"/>
                <w:sz w:val="16"/>
              </w:rPr>
              <w:t>244.31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F6E0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B83B9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F8DE9">
            <w:pPr>
              <w:jc w:val="center"/>
            </w:pPr>
            <w:r>
              <w:rPr>
                <w:rFonts w:ascii="宋体" w:hAnsi="宋体" w:eastAsia="宋体"/>
                <w:sz w:val="16"/>
              </w:rPr>
              <w:t>10</w:t>
            </w:r>
          </w:p>
        </w:tc>
      </w:tr>
      <w:tr w14:paraId="759679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A6D1D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835F4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1AF867">
            <w:pPr>
              <w:jc w:val="center"/>
            </w:pPr>
            <w:r>
              <w:rPr>
                <w:rFonts w:ascii="宋体" w:hAnsi="宋体" w:eastAsia="宋体"/>
                <w:sz w:val="16"/>
              </w:rPr>
              <w:t>1.50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0F7FAC">
            <w:pPr>
              <w:jc w:val="center"/>
            </w:pPr>
            <w:r>
              <w:rPr>
                <w:rFonts w:ascii="宋体" w:hAnsi="宋体" w:eastAsia="宋体"/>
                <w:sz w:val="16"/>
              </w:rPr>
              <w:t>1.50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2EC0F0">
            <w:pPr>
              <w:jc w:val="center"/>
            </w:pPr>
            <w:r>
              <w:rPr>
                <w:rFonts w:ascii="宋体" w:hAnsi="宋体" w:eastAsia="宋体"/>
                <w:sz w:val="16"/>
              </w:rPr>
              <w:t>1.50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FDBD0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2A429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97424D">
            <w:pPr>
              <w:jc w:val="center"/>
            </w:pPr>
            <w:r>
              <w:rPr>
                <w:rFonts w:ascii="宋体" w:hAnsi="宋体" w:eastAsia="宋体"/>
                <w:sz w:val="16"/>
              </w:rPr>
              <w:t>-</w:t>
            </w:r>
          </w:p>
        </w:tc>
      </w:tr>
      <w:tr w14:paraId="095F5EB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6E30D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60D7C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462EA6">
            <w:pPr>
              <w:jc w:val="center"/>
            </w:pPr>
            <w:r>
              <w:rPr>
                <w:rFonts w:ascii="宋体" w:hAnsi="宋体" w:eastAsia="宋体"/>
                <w:sz w:val="16"/>
              </w:rPr>
              <w:t>199.65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A74915">
            <w:pPr>
              <w:jc w:val="center"/>
            </w:pPr>
            <w:r>
              <w:rPr>
                <w:rFonts w:ascii="宋体" w:hAnsi="宋体" w:eastAsia="宋体"/>
                <w:sz w:val="16"/>
              </w:rPr>
              <w:t>214.48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BF3C84">
            <w:pPr>
              <w:jc w:val="center"/>
            </w:pPr>
            <w:r>
              <w:rPr>
                <w:rFonts w:ascii="宋体" w:hAnsi="宋体" w:eastAsia="宋体"/>
                <w:sz w:val="16"/>
              </w:rPr>
              <w:t>214.48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6AAF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4E274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6133D">
            <w:pPr>
              <w:jc w:val="center"/>
            </w:pPr>
            <w:r>
              <w:rPr>
                <w:rFonts w:ascii="宋体" w:hAnsi="宋体" w:eastAsia="宋体"/>
                <w:sz w:val="16"/>
              </w:rPr>
              <w:t>-</w:t>
            </w:r>
          </w:p>
        </w:tc>
      </w:tr>
      <w:tr w14:paraId="4F022F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57E35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F868A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2DA8EE">
            <w:pPr>
              <w:jc w:val="center"/>
            </w:pPr>
            <w:r>
              <w:rPr>
                <w:rFonts w:ascii="宋体" w:hAnsi="宋体" w:eastAsia="宋体"/>
                <w:sz w:val="16"/>
              </w:rPr>
              <w:t>4.50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911C5">
            <w:pPr>
              <w:jc w:val="center"/>
            </w:pPr>
            <w:r>
              <w:rPr>
                <w:rFonts w:ascii="宋体" w:hAnsi="宋体" w:eastAsia="宋体"/>
                <w:sz w:val="16"/>
              </w:rPr>
              <w:t>28.33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F2878E">
            <w:pPr>
              <w:jc w:val="center"/>
            </w:pPr>
            <w:r>
              <w:rPr>
                <w:rFonts w:ascii="宋体" w:hAnsi="宋体" w:eastAsia="宋体"/>
                <w:sz w:val="16"/>
              </w:rPr>
              <w:t>28.33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38F1F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747B3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F3167F">
            <w:pPr>
              <w:jc w:val="center"/>
            </w:pPr>
            <w:r>
              <w:rPr>
                <w:rFonts w:ascii="宋体" w:hAnsi="宋体" w:eastAsia="宋体"/>
                <w:sz w:val="16"/>
              </w:rPr>
              <w:t>-</w:t>
            </w:r>
          </w:p>
        </w:tc>
      </w:tr>
      <w:tr w14:paraId="07B61B1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7DEDE">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093E7E">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E4F19F">
            <w:pPr>
              <w:jc w:val="center"/>
            </w:pPr>
            <w:r>
              <w:rPr>
                <w:rFonts w:ascii="宋体" w:hAnsi="宋体" w:eastAsia="宋体"/>
                <w:sz w:val="16"/>
              </w:rPr>
              <w:t>实际完成情况</w:t>
            </w:r>
          </w:p>
        </w:tc>
      </w:tr>
      <w:tr w14:paraId="636AF73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B64295"/>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94D5EF">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职能有疾病控制防疫、妇幼儿童保健、门诊住院医疗、急诊抢救、防病治病等救死扶伤等。3.提供以预防保健、基本医疗、公共卫生、健康教育、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35F364">
            <w:pPr>
              <w:jc w:val="both"/>
            </w:pPr>
            <w:r>
              <w:rPr>
                <w:rFonts w:ascii="宋体" w:hAnsi="宋体" w:eastAsia="宋体"/>
                <w:sz w:val="16"/>
              </w:rPr>
              <w:t>一是提供以预防保健、基本医疗、公共卫生、健康教育、全民健康体检、康复等为主要内容的综合性服务。受县级卫生行政部门委托承担辖区内公共卫生管理。负责对</w:t>
            </w:r>
            <w:r>
              <w:rPr>
                <w:rFonts w:hint="eastAsia" w:ascii="宋体" w:hAnsi="宋体"/>
                <w:sz w:val="16"/>
                <w:lang w:eastAsia="zh-CN"/>
              </w:rPr>
              <w:t>乡村</w:t>
            </w:r>
            <w:r>
              <w:rPr>
                <w:rFonts w:ascii="宋体" w:hAnsi="宋体" w:eastAsia="宋体"/>
                <w:sz w:val="16"/>
              </w:rPr>
              <w:t>卫生机构的技术指导和对乡村医生的培训。二是保障部门</w:t>
            </w:r>
            <w:r>
              <w:rPr>
                <w:rFonts w:hint="eastAsia" w:ascii="宋体" w:hAnsi="宋体"/>
                <w:sz w:val="16"/>
                <w:lang w:eastAsia="zh-CN"/>
              </w:rPr>
              <w:t>单位</w:t>
            </w:r>
            <w:r>
              <w:rPr>
                <w:rFonts w:ascii="宋体" w:hAnsi="宋体" w:eastAsia="宋体"/>
                <w:sz w:val="16"/>
              </w:rPr>
              <w:t>人员发放工资福利支出；三是用于开展医疗服务及其他活动中发生的编外人员人员工资、社会保障费、卫生材料费、维修维护费、办公费、水电暖、交通费等费用。</w:t>
            </w:r>
          </w:p>
        </w:tc>
      </w:tr>
      <w:tr w14:paraId="376DE19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30183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4C64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3FBE8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966781">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4345B9">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6E34CA">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CCE03">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F3D56">
            <w:pPr>
              <w:jc w:val="center"/>
            </w:pPr>
            <w:r>
              <w:rPr>
                <w:rFonts w:ascii="宋体" w:hAnsi="宋体" w:eastAsia="宋体"/>
                <w:sz w:val="16"/>
              </w:rPr>
              <w:t>得分</w:t>
            </w:r>
          </w:p>
        </w:tc>
      </w:tr>
      <w:tr w14:paraId="788B417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5B25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7F90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5018E3">
            <w:pPr>
              <w:jc w:val="center"/>
            </w:pPr>
            <w:r>
              <w:rPr>
                <w:rFonts w:ascii="宋体" w:hAnsi="宋体" w:eastAsia="宋体"/>
                <w:sz w:val="16"/>
              </w:rPr>
              <w:t>医疗服务收入占比</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6A0070">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D3C147">
            <w:pPr>
              <w:jc w:val="center"/>
            </w:pPr>
            <w:r>
              <w:rPr>
                <w:rFonts w:ascii="宋体" w:hAnsi="宋体" w:eastAsia="宋体"/>
                <w:sz w:val="16"/>
              </w:rPr>
              <w:t>2024年特克斯县包扎得尔卫生院工作计划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2AA6BA">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728C1">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217ED7">
            <w:pPr>
              <w:jc w:val="center"/>
            </w:pPr>
            <w:r>
              <w:rPr>
                <w:rFonts w:ascii="宋体" w:hAnsi="宋体" w:eastAsia="宋体"/>
                <w:sz w:val="16"/>
              </w:rPr>
              <w:t>30</w:t>
            </w:r>
          </w:p>
        </w:tc>
      </w:tr>
      <w:tr w14:paraId="5EFA13B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5F33F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45C7D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1F5E4A">
            <w:pPr>
              <w:jc w:val="center"/>
            </w:pPr>
            <w:r>
              <w:rPr>
                <w:rFonts w:ascii="宋体" w:hAnsi="宋体" w:eastAsia="宋体"/>
                <w:sz w:val="16"/>
              </w:rPr>
              <w:t>全年巡回义诊次数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252908">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21073C">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549F68">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E58607">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4C7DD5">
            <w:pPr>
              <w:jc w:val="center"/>
            </w:pPr>
            <w:r>
              <w:rPr>
                <w:rFonts w:ascii="宋体" w:hAnsi="宋体" w:eastAsia="宋体"/>
                <w:sz w:val="16"/>
              </w:rPr>
              <w:t>30</w:t>
            </w:r>
          </w:p>
        </w:tc>
      </w:tr>
      <w:tr w14:paraId="22365D6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F8273D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EEF0F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57B0EA">
            <w:pPr>
              <w:jc w:val="center"/>
            </w:pPr>
            <w:r>
              <w:rPr>
                <w:rFonts w:ascii="宋体" w:hAnsi="宋体" w:eastAsia="宋体"/>
                <w:sz w:val="16"/>
              </w:rPr>
              <w:t>中医药诊疗服务项目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0ADBD9">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184DE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EC09B7">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BA0F2">
            <w:pPr>
              <w:jc w:val="center"/>
            </w:pPr>
            <w:r>
              <w:rPr>
                <w:rFonts w:ascii="宋体" w:hAnsi="宋体" w:eastAsia="宋体"/>
                <w:sz w:val="16"/>
              </w:rPr>
              <w:t>12次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38DDE4">
            <w:pPr>
              <w:jc w:val="center"/>
            </w:pPr>
            <w:r>
              <w:rPr>
                <w:rFonts w:ascii="宋体" w:hAnsi="宋体" w:eastAsia="宋体"/>
                <w:sz w:val="16"/>
              </w:rPr>
              <w:t>30</w:t>
            </w:r>
          </w:p>
        </w:tc>
      </w:tr>
    </w:tbl>
    <w:p w14:paraId="5F59EF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18119F3">
        <w:tblPrEx>
          <w:tblCellMar>
            <w:top w:w="0" w:type="dxa"/>
            <w:left w:w="108" w:type="dxa"/>
            <w:bottom w:w="0" w:type="dxa"/>
            <w:right w:w="108" w:type="dxa"/>
          </w:tblCellMar>
        </w:tblPrEx>
        <w:tc>
          <w:tcPr>
            <w:tcW w:w="8848" w:type="dxa"/>
            <w:gridSpan w:val="14"/>
            <w:vAlign w:val="center"/>
          </w:tcPr>
          <w:p w14:paraId="1330357F">
            <w:pPr>
              <w:jc w:val="center"/>
            </w:pPr>
            <w:r>
              <w:rPr>
                <w:rFonts w:ascii="宋体" w:hAnsi="宋体" w:eastAsia="宋体"/>
                <w:sz w:val="24"/>
              </w:rPr>
              <w:t>项目支出绩效自评表</w:t>
            </w:r>
          </w:p>
        </w:tc>
      </w:tr>
      <w:tr w14:paraId="3C33C5BD">
        <w:tblPrEx>
          <w:tblCellMar>
            <w:top w:w="0" w:type="dxa"/>
            <w:left w:w="108" w:type="dxa"/>
            <w:bottom w:w="0" w:type="dxa"/>
            <w:right w:w="108" w:type="dxa"/>
          </w:tblCellMar>
        </w:tblPrEx>
        <w:tc>
          <w:tcPr>
            <w:tcW w:w="8848" w:type="dxa"/>
            <w:gridSpan w:val="14"/>
            <w:vAlign w:val="center"/>
          </w:tcPr>
          <w:p w14:paraId="743BF524">
            <w:pPr>
              <w:jc w:val="center"/>
            </w:pPr>
            <w:r>
              <w:rPr>
                <w:rFonts w:ascii="宋体" w:hAnsi="宋体" w:eastAsia="宋体"/>
                <w:sz w:val="24"/>
              </w:rPr>
              <w:t>(2024年度)</w:t>
            </w:r>
          </w:p>
        </w:tc>
      </w:tr>
      <w:tr w14:paraId="343825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937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7D723E">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自有资金</w:t>
            </w:r>
          </w:p>
        </w:tc>
      </w:tr>
      <w:tr w14:paraId="0EF9DE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1617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AE5FE1">
            <w:pPr>
              <w:jc w:val="center"/>
            </w:pPr>
            <w:r>
              <w:rPr>
                <w:rFonts w:ascii="宋体" w:hAnsi="宋体" w:eastAsia="宋体"/>
                <w:sz w:val="16"/>
              </w:rPr>
              <w:t>特克斯县牧业包扎得尔库克苏温泉卫生院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F13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E2962D">
            <w:pPr>
              <w:jc w:val="center"/>
            </w:pPr>
            <w:r>
              <w:rPr>
                <w:rFonts w:ascii="宋体" w:hAnsi="宋体" w:eastAsia="宋体"/>
                <w:sz w:val="16"/>
              </w:rPr>
              <w:t>特克斯县牧业包扎得尔库克苏温泉卫生院</w:t>
            </w:r>
          </w:p>
        </w:tc>
      </w:tr>
      <w:tr w14:paraId="476226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67BE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64A9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2D8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2E0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B94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867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FFC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DB22">
            <w:pPr>
              <w:jc w:val="center"/>
            </w:pPr>
            <w:r>
              <w:rPr>
                <w:rFonts w:ascii="宋体" w:hAnsi="宋体" w:eastAsia="宋体"/>
                <w:sz w:val="16"/>
              </w:rPr>
              <w:t>得分</w:t>
            </w:r>
          </w:p>
        </w:tc>
      </w:tr>
      <w:tr w14:paraId="35C828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9B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264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F8A0A">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7CBCE">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1881E">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148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851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FD97">
            <w:pPr>
              <w:jc w:val="center"/>
            </w:pPr>
            <w:r>
              <w:rPr>
                <w:rFonts w:ascii="宋体" w:hAnsi="宋体" w:eastAsia="宋体"/>
                <w:sz w:val="16"/>
              </w:rPr>
              <w:t>10.00</w:t>
            </w:r>
          </w:p>
        </w:tc>
      </w:tr>
      <w:tr w14:paraId="110660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4BA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A2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2DC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F8C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1B1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AE3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F8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3137">
            <w:pPr>
              <w:jc w:val="center"/>
            </w:pPr>
            <w:r>
              <w:rPr>
                <w:rFonts w:ascii="宋体" w:hAnsi="宋体" w:eastAsia="宋体"/>
                <w:sz w:val="16"/>
              </w:rPr>
              <w:t>—</w:t>
            </w:r>
          </w:p>
        </w:tc>
      </w:tr>
      <w:tr w14:paraId="05BA8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603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E30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090B4">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808F3">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2059F">
            <w:pPr>
              <w:jc w:val="center"/>
              <w:rPr>
                <w:rFonts w:hint="eastAsia" w:eastAsia="宋体"/>
                <w:lang w:val="en-US" w:eastAsia="zh-CN"/>
              </w:rPr>
            </w:pPr>
            <w:r>
              <w:rPr>
                <w:rFonts w:ascii="宋体" w:hAnsi="宋体" w:eastAsia="宋体"/>
                <w:sz w:val="16"/>
              </w:rPr>
              <w:t>4.5</w:t>
            </w:r>
            <w:r>
              <w:rPr>
                <w:rFonts w:hint="eastAsia" w:ascii="宋体" w:hAnsi="宋体"/>
                <w:sz w:val="16"/>
                <w:lang w:val="en-US" w:eastAsia="zh-CN"/>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BD2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0F1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C6B1">
            <w:pPr>
              <w:jc w:val="center"/>
            </w:pPr>
            <w:r>
              <w:rPr>
                <w:rFonts w:ascii="宋体" w:hAnsi="宋体" w:eastAsia="宋体"/>
                <w:sz w:val="16"/>
              </w:rPr>
              <w:t>—</w:t>
            </w:r>
          </w:p>
        </w:tc>
      </w:tr>
      <w:tr w14:paraId="13B87A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C31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F871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5ADF61">
            <w:pPr>
              <w:jc w:val="center"/>
            </w:pPr>
            <w:r>
              <w:rPr>
                <w:rFonts w:ascii="宋体" w:hAnsi="宋体" w:eastAsia="宋体"/>
                <w:sz w:val="16"/>
              </w:rPr>
              <w:t>实际完成情况</w:t>
            </w:r>
          </w:p>
        </w:tc>
      </w:tr>
      <w:tr w14:paraId="2F217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E27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78D5D">
            <w:pPr>
              <w:jc w:val="both"/>
            </w:pPr>
            <w:r>
              <w:rPr>
                <w:rFonts w:ascii="宋体" w:hAnsi="宋体" w:eastAsia="宋体"/>
                <w:sz w:val="16"/>
              </w:rPr>
              <w:t>为人民健康医疗与预防保健服务，常见病多发病的治疗和护理；预防保健。提供以预防保健、基本医疗、公共卫生、健康教育、全民健康体检、康复等为主要内容的综合性服务。保障部门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用于开展医疗服务及其他活动中发生的编外人员人员工资、社会保障费、卫生材料费、维修维护费、办公费、水电暖、交通费等费用。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E64C7D">
            <w:pPr>
              <w:jc w:val="both"/>
            </w:pPr>
            <w:r>
              <w:rPr>
                <w:rFonts w:ascii="宋体" w:hAnsi="宋体" w:eastAsia="宋体"/>
                <w:sz w:val="16"/>
              </w:rPr>
              <w:t>保障部门</w:t>
            </w:r>
            <w:r>
              <w:rPr>
                <w:rFonts w:hint="eastAsia" w:ascii="宋体" w:hAnsi="宋体"/>
                <w:sz w:val="16"/>
                <w:lang w:eastAsia="zh-CN"/>
              </w:rPr>
              <w:t>单位</w:t>
            </w:r>
            <w:r>
              <w:rPr>
                <w:rFonts w:ascii="宋体" w:hAnsi="宋体" w:eastAsia="宋体"/>
                <w:sz w:val="16"/>
              </w:rPr>
              <w:t>人员发放工资福利支出 用于开展医疗服务及其他活动中发生的编外人员人员工资、维修维护费等费用。</w:t>
            </w:r>
          </w:p>
        </w:tc>
      </w:tr>
      <w:tr w14:paraId="7074F4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1DF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24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885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452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B5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CB92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BC07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C06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A84D">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F2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9B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8C6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D21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1EF8">
            <w:pPr>
              <w:jc w:val="center"/>
            </w:pPr>
            <w:r>
              <w:rPr>
                <w:rFonts w:ascii="宋体" w:hAnsi="宋体" w:eastAsia="宋体"/>
                <w:sz w:val="16"/>
              </w:rPr>
              <w:t>偏差原因分析及改进措施</w:t>
            </w:r>
          </w:p>
        </w:tc>
      </w:tr>
      <w:tr w14:paraId="3FAF34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02D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73E6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40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1768D">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99F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59C5">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EB89">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9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59A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A7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29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5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D4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C25CF">
            <w:pPr>
              <w:jc w:val="center"/>
            </w:pPr>
          </w:p>
        </w:tc>
      </w:tr>
      <w:tr w14:paraId="1B55E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95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30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E9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EC66E">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679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A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B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4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C03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CE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E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080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D41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C374">
            <w:pPr>
              <w:jc w:val="center"/>
            </w:pPr>
          </w:p>
        </w:tc>
      </w:tr>
      <w:tr w14:paraId="2DFEA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025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00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7B9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3D17">
            <w:pPr>
              <w:jc w:val="center"/>
            </w:pPr>
            <w:r>
              <w:rPr>
                <w:rFonts w:ascii="宋体" w:hAnsi="宋体" w:eastAsia="宋体"/>
                <w:sz w:val="16"/>
              </w:rPr>
              <w:t>编外人员工资发放及时率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AF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A5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7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7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90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D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32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7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BE7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5A75">
            <w:pPr>
              <w:jc w:val="center"/>
            </w:pPr>
          </w:p>
        </w:tc>
      </w:tr>
      <w:tr w14:paraId="5FF52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7B8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9B86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B2C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B058">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89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6594">
            <w:pPr>
              <w:jc w:val="center"/>
            </w:pPr>
            <w:r>
              <w:rPr>
                <w:rFonts w:ascii="宋体" w:hAnsi="宋体" w:eastAsia="宋体"/>
                <w:sz w:val="16"/>
              </w:rPr>
              <w:t>&lt;=3万元/年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2497">
            <w:pPr>
              <w:jc w:val="center"/>
            </w:pPr>
            <w:r>
              <w:rPr>
                <w:rFonts w:ascii="宋体" w:hAnsi="宋体" w:eastAsia="宋体"/>
                <w:sz w:val="16"/>
              </w:rPr>
              <w:t>3万元/年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2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E3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FB0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0F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71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41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3C63">
            <w:pPr>
              <w:jc w:val="center"/>
            </w:pPr>
          </w:p>
        </w:tc>
      </w:tr>
      <w:tr w14:paraId="15355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0A9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BA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B13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85DC">
            <w:pPr>
              <w:jc w:val="center"/>
            </w:pPr>
            <w:r>
              <w:rPr>
                <w:rFonts w:ascii="宋体" w:hAnsi="宋体" w:eastAsia="宋体"/>
                <w:sz w:val="16"/>
              </w:rPr>
              <w:t>日常办公运转经费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B14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5D46">
            <w:pPr>
              <w:jc w:val="center"/>
            </w:pPr>
            <w:r>
              <w:rPr>
                <w:rFonts w:ascii="宋体" w:hAnsi="宋体" w:eastAsia="宋体"/>
                <w:sz w:val="16"/>
              </w:rPr>
              <w:t>&lt;=1.50万元/年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BB01">
            <w:pPr>
              <w:jc w:val="center"/>
            </w:pPr>
            <w:r>
              <w:rPr>
                <w:rFonts w:ascii="宋体" w:hAnsi="宋体" w:eastAsia="宋体"/>
                <w:sz w:val="16"/>
              </w:rPr>
              <w:t>1.5万元/年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3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86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5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0B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2F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7D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01A1">
            <w:pPr>
              <w:jc w:val="center"/>
            </w:pPr>
          </w:p>
        </w:tc>
      </w:tr>
      <w:tr w14:paraId="3CD3E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386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2382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C5FA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3A2B">
            <w:pPr>
              <w:jc w:val="center"/>
            </w:pPr>
            <w:r>
              <w:rPr>
                <w:rFonts w:ascii="宋体" w:hAnsi="宋体" w:eastAsia="宋体"/>
                <w:sz w:val="16"/>
              </w:rPr>
              <w:t>提高编外人员工作积极性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0C2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27B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330C">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47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F6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9F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59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04A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5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32F4">
            <w:pPr>
              <w:jc w:val="center"/>
            </w:pPr>
          </w:p>
        </w:tc>
      </w:tr>
      <w:tr w14:paraId="443A6C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2DA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919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ED6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0BD5">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A4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2EF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8A80">
            <w:pPr>
              <w:jc w:val="center"/>
            </w:pPr>
            <w:r>
              <w:rPr>
                <w:rFonts w:ascii="宋体" w:hAnsi="宋体" w:eastAsia="宋体"/>
                <w:sz w:val="16"/>
              </w:rPr>
              <w:t>有效提高</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B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950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65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441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C90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5A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FCDE">
            <w:pPr>
              <w:jc w:val="center"/>
            </w:pPr>
          </w:p>
        </w:tc>
      </w:tr>
      <w:tr w14:paraId="5157ED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64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C5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8AB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52DF">
            <w:pPr>
              <w:jc w:val="center"/>
            </w:pPr>
            <w:r>
              <w:rPr>
                <w:rFonts w:hint="eastAsia" w:ascii="宋体" w:hAnsi="宋体"/>
                <w:sz w:val="16"/>
                <w:lang w:eastAsia="zh-CN"/>
              </w:rPr>
              <w:t>单位</w:t>
            </w: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49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DD48">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6ECA">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C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2F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2B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A5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A5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3C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A1A5">
            <w:pPr>
              <w:jc w:val="center"/>
            </w:pPr>
          </w:p>
        </w:tc>
      </w:tr>
      <w:tr w14:paraId="131776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E92F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48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C6A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BEC2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E828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5A769">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992E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E4B8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3C94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39A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38A209"/>
        </w:tc>
      </w:tr>
    </w:tbl>
    <w:p w14:paraId="060584B0">
      <w:r>
        <w:br w:type="page"/>
      </w:r>
    </w:p>
    <w:p w14:paraId="1065AAB8">
      <w:pPr>
        <w:spacing w:line="640" w:lineRule="exact"/>
        <w:ind w:firstLine="640"/>
        <w:jc w:val="both"/>
        <w:outlineLvl w:val="2"/>
      </w:pPr>
      <w:r>
        <w:rPr>
          <w:rFonts w:ascii="黑体" w:hAnsi="黑体" w:eastAsia="黑体"/>
          <w:sz w:val="32"/>
        </w:rPr>
        <w:t>十二、其他需说明的事项</w:t>
      </w:r>
    </w:p>
    <w:p w14:paraId="58EBAC5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2B757066">
      <w:r>
        <w:br w:type="page"/>
      </w:r>
    </w:p>
    <w:p w14:paraId="670BE499">
      <w:pPr>
        <w:spacing w:line="240" w:lineRule="auto"/>
        <w:jc w:val="center"/>
        <w:outlineLvl w:val="1"/>
      </w:pPr>
      <w:r>
        <w:rPr>
          <w:rFonts w:ascii="黑体" w:hAnsi="黑体" w:eastAsia="黑体"/>
          <w:sz w:val="32"/>
        </w:rPr>
        <w:t>第三部分 专业名词解释</w:t>
      </w:r>
    </w:p>
    <w:p w14:paraId="03B3C3E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E5178C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4581C3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65C95FF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0EFC5AF">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45355C9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5EDC4D2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29D4A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6E0D8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484A59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41C6E8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2C7FC672">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15D060E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B0D67B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437979C">
      <w:r>
        <w:br w:type="page"/>
      </w:r>
    </w:p>
    <w:p w14:paraId="4D6C9F61">
      <w:pPr>
        <w:spacing w:line="240" w:lineRule="auto"/>
        <w:jc w:val="center"/>
        <w:outlineLvl w:val="1"/>
      </w:pPr>
      <w:r>
        <w:rPr>
          <w:rFonts w:ascii="黑体" w:hAnsi="黑体" w:eastAsia="黑体"/>
          <w:sz w:val="32"/>
        </w:rPr>
        <w:t>第四部分 部门决算报表（见附表）</w:t>
      </w:r>
    </w:p>
    <w:p w14:paraId="0874CFA7">
      <w:pPr>
        <w:spacing w:line="240" w:lineRule="auto"/>
        <w:ind w:firstLine="640"/>
        <w:jc w:val="both"/>
      </w:pPr>
      <w:r>
        <w:rPr>
          <w:rFonts w:ascii="仿宋_GB2312" w:hAnsi="仿宋_GB2312" w:eastAsia="仿宋_GB2312"/>
          <w:b w:val="0"/>
          <w:sz w:val="32"/>
        </w:rPr>
        <w:t>一、《收入支出决算总表》</w:t>
      </w:r>
    </w:p>
    <w:p w14:paraId="64B3B52F">
      <w:pPr>
        <w:spacing w:line="240" w:lineRule="auto"/>
        <w:ind w:firstLine="640"/>
        <w:jc w:val="both"/>
      </w:pPr>
      <w:r>
        <w:rPr>
          <w:rFonts w:ascii="仿宋_GB2312" w:hAnsi="仿宋_GB2312" w:eastAsia="仿宋_GB2312"/>
          <w:b w:val="0"/>
          <w:sz w:val="32"/>
        </w:rPr>
        <w:t>二、《收入决算表》</w:t>
      </w:r>
    </w:p>
    <w:p w14:paraId="195B2BB3">
      <w:pPr>
        <w:spacing w:line="240" w:lineRule="auto"/>
        <w:ind w:firstLine="640"/>
        <w:jc w:val="both"/>
      </w:pPr>
      <w:r>
        <w:rPr>
          <w:rFonts w:ascii="仿宋_GB2312" w:hAnsi="仿宋_GB2312" w:eastAsia="仿宋_GB2312"/>
          <w:b w:val="0"/>
          <w:sz w:val="32"/>
        </w:rPr>
        <w:t>三、《支出决算表》</w:t>
      </w:r>
    </w:p>
    <w:p w14:paraId="7A529B39">
      <w:pPr>
        <w:spacing w:line="240" w:lineRule="auto"/>
        <w:ind w:firstLine="640"/>
        <w:jc w:val="both"/>
      </w:pPr>
      <w:r>
        <w:rPr>
          <w:rFonts w:ascii="仿宋_GB2312" w:hAnsi="仿宋_GB2312" w:eastAsia="仿宋_GB2312"/>
          <w:b w:val="0"/>
          <w:sz w:val="32"/>
        </w:rPr>
        <w:t>四、《财政拨款收入支出决算总表》</w:t>
      </w:r>
    </w:p>
    <w:p w14:paraId="57E89F95">
      <w:pPr>
        <w:spacing w:line="240" w:lineRule="auto"/>
        <w:ind w:firstLine="640"/>
        <w:jc w:val="both"/>
      </w:pPr>
      <w:r>
        <w:rPr>
          <w:rFonts w:ascii="仿宋_GB2312" w:hAnsi="仿宋_GB2312" w:eastAsia="仿宋_GB2312"/>
          <w:b w:val="0"/>
          <w:sz w:val="32"/>
        </w:rPr>
        <w:t>五、《一般公共预算财政拨款支出决算表》</w:t>
      </w:r>
    </w:p>
    <w:p w14:paraId="7CB7BCCC">
      <w:pPr>
        <w:spacing w:line="240" w:lineRule="auto"/>
        <w:ind w:firstLine="640"/>
        <w:jc w:val="both"/>
      </w:pPr>
      <w:r>
        <w:rPr>
          <w:rFonts w:ascii="仿宋_GB2312" w:hAnsi="仿宋_GB2312" w:eastAsia="仿宋_GB2312"/>
          <w:b w:val="0"/>
          <w:sz w:val="32"/>
        </w:rPr>
        <w:t>六、《一般公共预算财政拨款基本支出决算表》</w:t>
      </w:r>
    </w:p>
    <w:p w14:paraId="49166CA0">
      <w:pPr>
        <w:spacing w:line="240" w:lineRule="auto"/>
        <w:ind w:firstLine="640"/>
        <w:jc w:val="both"/>
      </w:pPr>
      <w:r>
        <w:rPr>
          <w:rFonts w:ascii="仿宋_GB2312" w:hAnsi="仿宋_GB2312" w:eastAsia="仿宋_GB2312"/>
          <w:b w:val="0"/>
          <w:sz w:val="32"/>
        </w:rPr>
        <w:t>七、《政府性基金预算财政拨款收入支出决算表》</w:t>
      </w:r>
    </w:p>
    <w:p w14:paraId="01D93BC6">
      <w:pPr>
        <w:spacing w:line="240" w:lineRule="auto"/>
        <w:ind w:firstLine="640"/>
        <w:jc w:val="both"/>
      </w:pPr>
      <w:r>
        <w:rPr>
          <w:rFonts w:ascii="仿宋_GB2312" w:hAnsi="仿宋_GB2312" w:eastAsia="仿宋_GB2312"/>
          <w:b w:val="0"/>
          <w:sz w:val="32"/>
        </w:rPr>
        <w:t>八、《国有资本经营预算财政拨款收入支出决算表》</w:t>
      </w:r>
    </w:p>
    <w:p w14:paraId="0BBFD151">
      <w:pPr>
        <w:spacing w:line="240" w:lineRule="auto"/>
        <w:ind w:firstLine="640"/>
        <w:jc w:val="both"/>
      </w:pPr>
      <w:r>
        <w:rPr>
          <w:rFonts w:ascii="仿宋_GB2312" w:hAnsi="仿宋_GB2312" w:eastAsia="仿宋_GB2312"/>
          <w:b w:val="0"/>
          <w:sz w:val="32"/>
        </w:rPr>
        <w:t>九、《财政拨款“三公”经费支出决算表》</w:t>
      </w:r>
    </w:p>
    <w:p w14:paraId="562EF46C">
      <w:pPr>
        <w:spacing w:line="240" w:lineRule="auto"/>
        <w:ind w:firstLine="640"/>
        <w:jc w:val="both"/>
      </w:pPr>
    </w:p>
    <w:p w14:paraId="367F383C">
      <w:pPr>
        <w:spacing w:line="240" w:lineRule="auto"/>
        <w:ind w:firstLine="640"/>
        <w:jc w:val="both"/>
      </w:pPr>
    </w:p>
    <w:p w14:paraId="35D33B16">
      <w:pPr>
        <w:spacing w:line="240" w:lineRule="auto"/>
        <w:ind w:firstLine="640"/>
        <w:jc w:val="both"/>
      </w:pPr>
    </w:p>
    <w:p w14:paraId="0074B056">
      <w:pPr>
        <w:spacing w:line="240" w:lineRule="auto"/>
        <w:ind w:firstLine="640"/>
        <w:jc w:val="both"/>
      </w:pPr>
    </w:p>
    <w:p w14:paraId="0C264B1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650A4F"/>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C747AA"/>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3838</Words>
  <Characters>4441</Characters>
  <Lines>0</Lines>
  <Paragraphs>0</Paragraphs>
  <TotalTime>1</TotalTime>
  <ScaleCrop>false</ScaleCrop>
  <LinksUpToDate>false</LinksUpToDate>
  <CharactersWithSpaces>4449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